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znak sprawy: </w:t>
      </w:r>
      <w:bookmarkStart w:id="0" w:name="_GoBack"/>
      <w:r>
        <w:rPr>
          <w:rFonts w:cs="Times New Roman" w:ascii="Times New Roman" w:hAnsi="Times New Roman"/>
          <w:b/>
          <w:sz w:val="24"/>
          <w:szCs w:val="24"/>
        </w:rPr>
        <w:t>WIP.271.NP.1.2018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 xml:space="preserve">Proszowice 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b/>
          <w:sz w:val="24"/>
          <w:szCs w:val="24"/>
        </w:rPr>
        <w:t>.09.2018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</w:r>
      <w:r>
        <w:rPr>
          <w:bCs/>
          <w:sz w:val="24"/>
          <w:szCs w:val="24"/>
        </w:rPr>
        <w:t>Wykonanie wstępnej koncepcji rewitalizacji obszarów kultury w Proszowicach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informuje, że kwota jaką zamierza przeznaczyć na sfinansowanie zamówienia wynosi brutto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60 000,00</w:t>
      </w:r>
      <w:r>
        <w:rPr>
          <w:rFonts w:cs="Times New Roman" w:ascii="Times New Roman" w:hAnsi="Times New Roman"/>
          <w:sz w:val="24"/>
          <w:szCs w:val="24"/>
        </w:rPr>
        <w:t xml:space="preserve"> zł.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złożonych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8"/>
        <w:gridCol w:w="5582"/>
        <w:gridCol w:w="2562"/>
      </w:tblGrid>
      <w:tr>
        <w:trPr>
          <w:trHeight w:val="611" w:hRule="atLeast"/>
          <w:cantSplit w:val="true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>
        <w:trPr>
          <w:trHeight w:val="746" w:hRule="atLeast"/>
          <w:cantSplit w:val="true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VOSTOK DESIGN Wojciech Gawinowski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Syrokomli 7/2, 30-102 Kraków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36 00,00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ED1C2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ED1C24"/>
                <w:sz w:val="24"/>
                <w:szCs w:val="24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Przedsiębiorstwo Projektowo Doradcze WROTECH Sp. z.o.o.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Kunickiego 15, 54-616 Wrocław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116 850,00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D1C24"/>
                <w:sz w:val="24"/>
                <w:szCs w:val="24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AMAYA ARCHITEKCI, Agnieszka Majewska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40-115 Katowice, ul. J. Baildona 24 c/10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68 000,00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D1C24"/>
                <w:sz w:val="24"/>
                <w:szCs w:val="24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DWK projekt Wojciech Kulawik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Aleja N.M.P. 69, 42-200 Częstochowa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55 350,00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D1C24"/>
                <w:sz w:val="24"/>
                <w:szCs w:val="24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Utila sp. z.o.o.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03-733 Warszawa, ul. Targowa 42/20 – Lider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  <w:t>Partnerzy: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EU-CONSULT sp.z.o.o., 87-747 Gdańsk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Toruńska 18c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MAPS Studio sp.z.o.o. w organizacji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40-027 Katowice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Francuska 35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59  901,00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D1C24"/>
                <w:sz w:val="24"/>
                <w:szCs w:val="24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6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VITARO sp.z.o.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00-116 Warszawa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Świętokrzyska 30, lok. 63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79 950,00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D1C24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7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Przedsiębiorstwo produkcyjno handlowo usługowe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RMJ -EKOBUD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32-600 Oświęcim, ul. Reja 31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71 340,00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D1C24"/>
                <w:sz w:val="24"/>
                <w:szCs w:val="24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8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PM projekt sp. z.o.o.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33-386 Podegrodzie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Brzezna 576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84 870,00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D1C24"/>
                <w:sz w:val="24"/>
                <w:szCs w:val="24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9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DDD Architekci, DDD Nieruchomosci, EXPO CAFE DARIUSZ DYGUTOWICZ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Mogilska 11/17, 31-542 Kraków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Anna Becker SIGNA PROJEKT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Trynitarska 4/15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31-061 Kraków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49 200,00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D1C24"/>
                <w:sz w:val="24"/>
                <w:szCs w:val="24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Pracownia Architektoniczna GEOMETRIA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Leszek Bylina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Skarbińskiego  24/P2, 30-071 Kraków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152 520,00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D1C24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Grzegorz Cichy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7AC3-6A67-41E0-B1CB-6DACD717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LibreOffice/6.0.3.2$Windows_X86_64 LibreOffice_project/8f48d515416608e3a835360314dac7e47fd0b821</Application>
  <Pages>2</Pages>
  <Words>224</Words>
  <Characters>1359</Characters>
  <CharactersWithSpaces>1535</CharactersWithSpaces>
  <Paragraphs>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2018-09-10T12:01:02Z</cp:lastPrinted>
  <dcterms:modified xsi:type="dcterms:W3CDTF">2018-09-10T12:01:50Z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