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WIP.271.NP.2.2018</w:t>
        <w:tab/>
        <w:tab/>
        <w:tab/>
        <w:tab/>
        <w:tab/>
        <w:t xml:space="preserve">Proszowice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.09.2018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bCs/>
          <w:sz w:val="24"/>
          <w:szCs w:val="24"/>
        </w:rPr>
        <w:t>Wykonanie wstępn</w:t>
      </w:r>
      <w:bookmarkStart w:id="0" w:name="_GoBack"/>
      <w:bookmarkEnd w:id="0"/>
      <w:r>
        <w:rPr>
          <w:bCs/>
          <w:sz w:val="24"/>
          <w:szCs w:val="24"/>
        </w:rPr>
        <w:t>ej koncepcji rewitalizacji obszarów sportu i rekreacji w Proszowicach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60 000,00</w:t>
      </w:r>
      <w:r>
        <w:rPr>
          <w:rFonts w:cs="Times New Roman" w:ascii="Times New Roman" w:hAnsi="Times New Roman"/>
          <w:sz w:val="24"/>
          <w:szCs w:val="24"/>
        </w:rPr>
        <w:t xml:space="preserve">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8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4"/>
        <w:gridCol w:w="5615"/>
        <w:gridCol w:w="2639"/>
      </w:tblGrid>
      <w:tr>
        <w:trPr>
          <w:trHeight w:val="611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VOSTOK DESIGN Wojciech Gawinowski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Syrokomli 7/2, 30-102 Kraków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43 000,00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Projektowo Doradcze WROTECH Sp. z.o.o.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Kunickiego 15, 54-616 Wrocław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109 470,00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AMAYA ARCHITEKCI, Agnieszka Majewska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40-115 Katowice, ul. J. Baildona 24 c/10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57 000,00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DWK projekt Wojciech Kulawik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Aleja N.M.P. 69, 42-200 Częstochowa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55 350,00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Utila sp. z.o.o.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03-733 Warszawa, ul. Targowa 42/20 – Lider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Partnerzy: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EU-CONSULT sp.z.o.o., 87-747 Gdańsk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Toruńska 18c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MAPS Studio sp.z.o.o. w organizacji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40-027 Katowice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Francuska 35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47 970,00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VITARO sp.z.o.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00-116 Warszawa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Świętokrzyska 30, lok. 63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79 950,00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Przedsiębiorstwo produkcyjno handlowo usługowe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RMJ -EKOBUD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32-600 Oświęcim, ul. Reja 31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71 340,00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PM projekt sp. z.o.o.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33-386 Podegrodzie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Brzezna 576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93 480,00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9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4GARDENS A.Zięcik, J. Lasek, A. Jarzmik, T. Szpilowski s.c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Aleksandra Fredry 2, 30-605 Kraków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34 440,00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DDD Architekci, DDD Nieruchomosci, EXPO CAFE DARIUSZ DYGUTOWICZ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Mogilska 11/17, 31-542 Kraków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Anna Becker SIGNA PROJEKT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Trynitarska 4/15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31-061 Kraków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49 200,00</w:t>
            </w:r>
          </w:p>
        </w:tc>
      </w:tr>
      <w:tr>
        <w:trPr>
          <w:trHeight w:val="746" w:hRule="atLeast"/>
          <w:cantSplit w:val="true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Pracownia Architektoniczna GEOMETRIA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Leszek Bylina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Skarbińskiego  24/P2, 30-071 Kraków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152 520,00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563C-E925-4E44-8401-708084DC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LibreOffice/6.0.3.2$Windows_X86_64 LibreOffice_project/8f48d515416608e3a835360314dac7e47fd0b821</Application>
  <Pages>2</Pages>
  <Words>244</Words>
  <Characters>1463</Characters>
  <CharactersWithSpaces>1654</CharactersWithSpaces>
  <Paragraphs>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2018-09-10T11:57:31Z</cp:lastPrinted>
  <dcterms:modified xsi:type="dcterms:W3CDTF">2018-09-10T12:00:42Z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