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Proszowice,  dnia 26.07.2019 r.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  <w:szCs w:val="24"/>
        </w:rPr>
      </w:pPr>
      <w:r>
        <w:rPr>
          <w:b/>
          <w:i/>
        </w:rPr>
        <w:t>znak sprawy</w:t>
      </w:r>
      <w:r>
        <w:rPr>
          <w:b/>
        </w:rPr>
        <w:t xml:space="preserve">: </w:t>
      </w:r>
      <w:r>
        <w:rPr>
          <w:b/>
          <w:szCs w:val="24"/>
        </w:rPr>
        <w:t>WIP.271.12.2019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4104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284"/>
        <w:gridCol w:w="851"/>
        <w:gridCol w:w="3969"/>
      </w:tblGrid>
      <w:tr>
        <w:trPr>
          <w:trHeight w:val="1734" w:hRule="atLeast"/>
        </w:trPr>
        <w:tc>
          <w:tcPr>
            <w:tcW w:w="9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ODPOWIEDZI NA PYTANIA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Wyjaśnienia treści SIWZ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Gmina Proszowice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32-100 Proszowice, ul. 3 Maja 72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jc w:val="right"/>
        <w:rPr/>
      </w:pP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/>
        <w:t xml:space="preserve">Na podstawie art. 38 ust. 1 i 2 ustawy z dnia 29 stycznia 2004 r. – Prawo zamówień publicznych (Dz. U. z 2018 r. poz. 1986 z późn. zm.) </w:t>
      </w:r>
      <w:r>
        <w:rPr>
          <w:b/>
        </w:rPr>
        <w:t xml:space="preserve">Zamawiający - Gmina Proszowice, 32-100 Proszowice, ul. 3 Maja 72, </w:t>
      </w:r>
      <w:r>
        <w:rPr/>
        <w:t xml:space="preserve">w postępowaniu o udzielenie zamówienia na </w:t>
      </w:r>
      <w:r>
        <w:rPr>
          <w:rFonts w:eastAsia="Calibri"/>
          <w:bCs/>
          <w:color w:val="000000"/>
          <w:szCs w:val="24"/>
        </w:rPr>
        <w:t xml:space="preserve">modernizację amfiteatru i aranżację terenu sąsiadującego na cele kultury otwartej </w:t>
      </w:r>
      <w:r>
        <w:rPr>
          <w:szCs w:val="24"/>
        </w:rPr>
        <w:t>w ramach projektu „przestrzenie czasu wolnego w mieście Proszowice – obszar kultury” Działanie 11.1 Rewitalizacja miast RPO WM na lata 2014-2020</w:t>
      </w:r>
      <w:r>
        <w:rPr/>
        <w:t xml:space="preserve"> </w:t>
      </w:r>
      <w:r>
        <w:rPr>
          <w:b/>
        </w:rPr>
        <w:t xml:space="preserve"> </w:t>
      </w:r>
      <w:r>
        <w:rPr>
          <w:b/>
          <w:szCs w:val="24"/>
        </w:rPr>
        <w:t>udziela: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 xml:space="preserve">Odpowiedzi na pytania </w:t>
      </w:r>
    </w:p>
    <w:p>
      <w:pPr>
        <w:pStyle w:val="Normal"/>
        <w:spacing w:before="0" w:after="0"/>
        <w:jc w:val="center"/>
        <w:rPr>
          <w:sz w:val="28"/>
          <w:szCs w:val="24"/>
        </w:rPr>
      </w:pPr>
      <w:r>
        <w:rPr>
          <w:b/>
          <w:sz w:val="28"/>
          <w:szCs w:val="24"/>
        </w:rPr>
        <w:t>do treści Specyfikacji Istotnych Warunków Zamówienia</w:t>
      </w:r>
      <w:r>
        <w:rPr>
          <w:sz w:val="28"/>
          <w:szCs w:val="24"/>
        </w:rPr>
        <w:t xml:space="preserve">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dla postępowania o udzielenie zamówienia publicznego w trybie przetargu nieograniczonego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Tabela-Siatka"/>
        <w:tblW w:w="140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430"/>
        <w:gridCol w:w="4015"/>
        <w:gridCol w:w="379"/>
        <w:gridCol w:w="4062"/>
        <w:gridCol w:w="4441"/>
      </w:tblGrid>
      <w:tr>
        <w:trPr/>
        <w:tc>
          <w:tcPr>
            <w:tcW w:w="70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24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Pytanie </w:t>
            </w:r>
          </w:p>
        </w:tc>
        <w:tc>
          <w:tcPr>
            <w:tcW w:w="8503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Odpowiedz</w:t>
            </w:r>
          </w:p>
        </w:tc>
      </w:tr>
      <w:tr>
        <w:trPr/>
        <w:tc>
          <w:tcPr>
            <w:tcW w:w="70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24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Lokalizacja drogi ppoż. plac do zawracania - wskazać</w:t>
            </w:r>
          </w:p>
        </w:tc>
        <w:tc>
          <w:tcPr>
            <w:tcW w:w="850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Projektant określi właściwą drogę p,poż. przy sporządzaniu  projektu zagospodarowania terenu, zgodnie z rozporządzeniem Ministra Infrastruktury w sprawie warunków technicznych, jakim powinny odpowiadać budynki i ich usytuowanie (Dz. U. 2019 poz. 1065) oraz Rozporządzenie Ministra Spraw Wewnętrznych i Administracji w sprawie przeciwpożarowego zaopatrzenia w wodę oraz dróg pożarowych (Dz.U. 2009 nr 124 poz. 10300;</w:t>
            </w:r>
          </w:p>
        </w:tc>
      </w:tr>
      <w:tr>
        <w:trPr/>
        <w:tc>
          <w:tcPr>
            <w:tcW w:w="70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24" w:type="dxa"/>
            <w:gridSpan w:val="3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Aranżacja” terenu</w:t>
            </w:r>
          </w:p>
        </w:tc>
        <w:tc>
          <w:tcPr>
            <w:tcW w:w="8503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Aranżacja terenu dotyczy wymienionych w PFU elementów: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  </w:t>
            </w:r>
            <w:r>
              <w:rPr>
                <w:color w:val="FF0000"/>
                <w:sz w:val="24"/>
                <w:szCs w:val="24"/>
              </w:rPr>
              <w:t xml:space="preserve">scena o powierzchni ok. 225 m 2 ,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  </w:t>
            </w:r>
            <w:r>
              <w:rPr>
                <w:color w:val="FF0000"/>
                <w:sz w:val="24"/>
                <w:szCs w:val="24"/>
              </w:rPr>
              <w:t xml:space="preserve">budynek podscenia o pow. ok. 112 m 2 ,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  </w:t>
            </w:r>
            <w:r>
              <w:rPr>
                <w:color w:val="FF0000"/>
                <w:sz w:val="24"/>
                <w:szCs w:val="24"/>
              </w:rPr>
              <w:t>widownia - w postaci rzędów ławeczek plastikowych mieszcząca ok. 1500 osób,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wraz z zagospodarowaniem terenu przyległego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W ramach inwestycji należy przewidzieć roboty obejmujące: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  </w:t>
            </w:r>
            <w:r>
              <w:rPr>
                <w:color w:val="FF0000"/>
                <w:sz w:val="24"/>
                <w:szCs w:val="24"/>
              </w:rPr>
              <w:t xml:space="preserve">przebudowę sceny oraz budynku podscenia,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  </w:t>
            </w:r>
            <w:r>
              <w:rPr>
                <w:color w:val="FF0000"/>
                <w:sz w:val="24"/>
                <w:szCs w:val="24"/>
              </w:rPr>
              <w:t xml:space="preserve">modernizację  widowni  poprzez  kompleksową  wymianę  siedzisk,  oraz  ciągów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komunikacyjnych pomiędzy poszczególnymi jej sektorami,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 </w:t>
            </w:r>
            <w:r>
              <w:rPr>
                <w:color w:val="FF0000"/>
                <w:sz w:val="24"/>
                <w:szCs w:val="24"/>
              </w:rPr>
              <w:t xml:space="preserve">przystosowanie  go  do  obsługi  osób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niepełnosprawnych (budowa podjazdu).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Prace rozbiórkowe i demontażowe.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Przewiduje się zdemontowanie następujących elementów: 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• </w:t>
            </w:r>
            <w:r>
              <w:rPr>
                <w:color w:val="FF0000"/>
                <w:sz w:val="24"/>
                <w:szCs w:val="24"/>
              </w:rPr>
              <w:t>Rozbiórka istniejącej sceny żelbetowej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• </w:t>
            </w:r>
            <w:r>
              <w:rPr>
                <w:color w:val="FF0000"/>
                <w:sz w:val="24"/>
                <w:szCs w:val="24"/>
              </w:rPr>
              <w:t xml:space="preserve">Rozbiórka istniejących nawierzchni w obrębie placu oraz widowni,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• </w:t>
            </w:r>
            <w:r>
              <w:rPr>
                <w:color w:val="FF0000"/>
                <w:sz w:val="24"/>
                <w:szCs w:val="24"/>
              </w:rPr>
              <w:t xml:space="preserve">Rozbiórka obrzeży betonowych stopni widowni, 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• </w:t>
            </w:r>
            <w:r>
              <w:rPr>
                <w:color w:val="FF0000"/>
                <w:sz w:val="24"/>
                <w:szCs w:val="24"/>
              </w:rPr>
              <w:t>Demontaż ławek widowni.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Przeznaczenie i program użytkowy obiektu 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Projektuje  się  budowę  amfiteatru  wraz  z  przebudową  widowni  jako  inwestycję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kompleksową: 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1.  Przebudowa  widowni  -  przebudowa  widowni  polegać  ma  na  rozbiórce  istniejących trybun z betonu i siedzisk z tworzywa sztucznego oraz wyprofilowaniu terenu i w miejscu istniejącej  widowni  wykonanie  nowej  na  około  1500  miejsc,  z  betonu  z  siedziskami  z desek  kompozytowych.  W  obrębie  widowni  przewiduje  się  miejsce  dla  akustyka  oraz  3 miejsca dla osób niepełnoprawnych u dołu. 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2. Budowa amfiteatru – wykonanie sceny i podscenia - przewiduje się budowę amfiteatru –  jego  sceny  wraz  z  podsceniem.  Scena  przeznaczone  będzie  do  występów,  natomiast podscenie będzie przeznaczona na zaplecze dla występujących. Część sceniczna żelbetowa – wysokość dobierze projektant, zakładając że scena ma być widoczna z każdego punktu widowni. Schody na całej szerokości sceny. Zadaszenie żelbetowe, stalowe lub mieszane.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Proponuje się konstrukcję stalową krytą płytami elewacyjnymi w ten sposób, żeby uzyskać możliwość  podświetlenia,  dodającego  obiektowi  głębi  przestrzennej.  Dopuszcza  się  inne rozwiązania konstrukcyjne, jednak mając na względzie architekturę obiektów publicznych projektowanych w sąsiedztwie, obiekt winien nawiązywać do układu kubistycznego (patrz rysunek).  Obok  podświetlenia  elewacji,  należy  zaprojektować  oświetlenie  oraz nagłośnienie  sceniczne.  Obiekt  (scena  i  podscenie)  wyposażone  w  wodę  i  kanalizację, prąd i siłę). Podscenie ogrzewane (dopuszcza się ogrzewanie elektryczne).     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3.  Wykonanie  utwardzeń  wokół  sceny  i  przed  widownią  przeznaczonych  do  zabaw tanecznych. Poszczególne elementy składać się  mają na obiekt widowiskowy składający się  z  widowni  oraz  zadaszonej  sceny.  Przeznaczony  on  ma  być  do  imprez okolicznościowych organizowanych przez miasto.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Wykonawca  jest  zobowiązany  do  wykonania  koncepcji  funkcjonalno-przestrzennej  i architektonicznej  i  przed  przystąpieniem  do  projektowania  uzyskać  akceptację Zamawiającego. </w:t>
            </w:r>
          </w:p>
        </w:tc>
      </w:tr>
      <w:tr>
        <w:trPr/>
        <w:tc>
          <w:tcPr>
            <w:tcW w:w="70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24" w:type="dxa"/>
            <w:gridSpan w:val="3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Wykonanie projektów wykonawczych, w tym szczegółowych projektów dla części ekspozycyjnej” – jakiego elementu zamówienia dotyczy?</w:t>
            </w:r>
          </w:p>
        </w:tc>
        <w:tc>
          <w:tcPr>
            <w:tcW w:w="8503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Na str. 6 PFU w ostatnim pkt. , gdzie Ustala się następujące działania w ramach realizacji Etapu I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 dopisuje się: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„</w:t>
            </w:r>
            <w:r>
              <w:rPr>
                <w:color w:val="FF0000"/>
                <w:sz w:val="24"/>
                <w:szCs w:val="24"/>
              </w:rPr>
              <w:t>Projektant powinien rozważyć możliwość stworzenia obok amfiteatru miejsca do ekspozycji okazjonalnych wystaw plenerowych”.</w:t>
            </w:r>
          </w:p>
        </w:tc>
      </w:tr>
      <w:tr>
        <w:trPr/>
        <w:tc>
          <w:tcPr>
            <w:tcW w:w="70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24" w:type="dxa"/>
            <w:gridSpan w:val="3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Realizacja  robót  rozbiórkowych  oraz  budowlanych  na  podstawie  wykonanej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dokumentacji  technicznej,  w  tym  robót  instalacyjnych  wewnętrznych i zewnętrznych – jakiego elementu zamówienia dotyczy?</w:t>
            </w:r>
          </w:p>
        </w:tc>
        <w:tc>
          <w:tcPr>
            <w:tcW w:w="8503" w:type="dxa"/>
            <w:gridSpan w:val="2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Zakres prac rozbiórkowych zależeć będzie od przedstawionej i zaakceptowanej przez Zamawiającego koncepcji projektowej i realizowany winien być w oparciu o zapisy Ustawy z dnia 7 lipca 1994 r. Prawo budowlane (Dz. U. z 2019 r. poz. 1186)</w:t>
            </w:r>
          </w:p>
        </w:tc>
      </w:tr>
      <w:tr>
        <w:trPr/>
        <w:tc>
          <w:tcPr>
            <w:tcW w:w="702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24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Rozbieżności SIWZ, PFU, ULICP – wskazanie jednoznacznych wymagań</w:t>
            </w:r>
          </w:p>
        </w:tc>
        <w:tc>
          <w:tcPr>
            <w:tcW w:w="850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We wskazanych dokumentach podano istotne parametry techniczne obiektów.</w:t>
            </w:r>
          </w:p>
        </w:tc>
      </w:tr>
      <w:tr>
        <w:trPr/>
        <w:tc>
          <w:tcPr>
            <w:tcW w:w="702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445" w:type="dxa"/>
            <w:gridSpan w:val="2"/>
            <w:tcBorders/>
            <w:shd w:color="auto" w:fill="DEEAF6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SIWZ</w:t>
            </w:r>
          </w:p>
        </w:tc>
        <w:tc>
          <w:tcPr>
            <w:tcW w:w="4441" w:type="dxa"/>
            <w:gridSpan w:val="2"/>
            <w:tcBorders/>
            <w:shd w:color="auto" w:fill="DEEAF6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PFU</w:t>
            </w:r>
          </w:p>
        </w:tc>
        <w:tc>
          <w:tcPr>
            <w:tcW w:w="4441" w:type="dxa"/>
            <w:tcBorders/>
            <w:shd w:color="auto" w:fill="DEEAF6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ULICP</w:t>
            </w:r>
          </w:p>
        </w:tc>
      </w:tr>
      <w:tr>
        <w:trPr/>
        <w:tc>
          <w:tcPr>
            <w:tcW w:w="702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0" w:type="dxa"/>
            <w:tcBorders/>
            <w:shd w:color="auto" w:fill="DEEAF6" w:themeFill="accent1" w:themeFillTint="33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Modernizacja amfiteatru i aranżacja terenu sąsiadującego na cele kultury otwartej w ramach projektu „przestrzenie czasu wolnego”</w:t>
            </w:r>
          </w:p>
        </w:tc>
        <w:tc>
          <w:tcPr>
            <w:tcW w:w="444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ramach inwestycji należy przewidzieć roboty obejmujące: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 </w:t>
            </w:r>
            <w:r>
              <w:rPr>
                <w:sz w:val="24"/>
                <w:szCs w:val="24"/>
              </w:rPr>
              <w:t xml:space="preserve">przebudowę sceny oraz budynku podscenia,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 </w:t>
            </w:r>
            <w:r>
              <w:rPr>
                <w:sz w:val="24"/>
                <w:szCs w:val="24"/>
              </w:rPr>
              <w:t>modernizację  widowni  poprzez  kompleksową  wymianę  siedzisk,  oraz  ciągów komunikacyjnych pomiędzy poszczególnymi jej sektorami.</w:t>
            </w:r>
          </w:p>
        </w:tc>
        <w:tc>
          <w:tcPr>
            <w:tcW w:w="4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modernizacja amfiteatru wraz z zagospodarowaniem terenu przyległego (modernizacja widowni – ławeczki plastikowe na ok. 1500 osób, remont sceny (225m2)  i budynku podscenia ( ok.112m2)</w:t>
            </w:r>
          </w:p>
        </w:tc>
      </w:tr>
      <w:tr>
        <w:trPr/>
        <w:tc>
          <w:tcPr>
            <w:tcW w:w="702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27" w:type="dxa"/>
            <w:gridSpan w:val="5"/>
            <w:tcBorders/>
            <w:shd w:color="auto" w:fill="DEEAF6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0" w:type="dxa"/>
            <w:tcBorders/>
            <w:shd w:color="auto" w:fill="DEEAF6" w:themeFill="accent1" w:themeFillTint="33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4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amfiteatru – wykonanie sceny i podscenia - przewiduje się budowę amfiteatru – jego sceny wraz z podsceniem.</w:t>
            </w:r>
          </w:p>
        </w:tc>
        <w:tc>
          <w:tcPr>
            <w:tcW w:w="4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w ULICP informacji określających warunki zabudowy dla budowy obiektów</w:t>
            </w:r>
          </w:p>
        </w:tc>
      </w:tr>
      <w:tr>
        <w:trPr/>
        <w:tc>
          <w:tcPr>
            <w:tcW w:w="702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27" w:type="dxa"/>
            <w:gridSpan w:val="5"/>
            <w:tcBorders/>
            <w:shd w:color="auto" w:fill="DEEAF6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0" w:type="dxa"/>
            <w:tcBorders/>
            <w:shd w:color="auto" w:fill="DEEAF6" w:themeFill="accent1" w:themeFillTint="33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41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utwardzeń wokół sceny i przed widownią przeznaczonych do zabaw tanecznych.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informacji o zakresie prac, danych jakościowych i ilościowych</w:t>
            </w:r>
          </w:p>
        </w:tc>
        <w:tc>
          <w:tcPr>
            <w:tcW w:w="444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27" w:type="dxa"/>
            <w:gridSpan w:val="5"/>
            <w:tcBorders/>
            <w:shd w:color="auto" w:fill="DEEAF6" w:themeFill="accent1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Decyzja o lokalizacji inwestycji celu publicznego (znak WIP-RM.6733.26.2017) z dn. 27.02.2018  r.,  została wydana na podstawie art. 50 ust.1, art.51 ust.1, punkt 2 ustawy z dnia 27 marca 2003 roku o planowaniu i zagospodarowaniu przestrzennym(t.j. Dz. U. z 2017 r. poz. 1073) oraz art. 104 Kodeks postępowania administracyjnego (Dz. U.z 2017 roku poz. 1257) przez właściwy organ.</w:t>
            </w:r>
          </w:p>
        </w:tc>
      </w:tr>
      <w:tr>
        <w:trPr/>
        <w:tc>
          <w:tcPr>
            <w:tcW w:w="70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27" w:type="dxa"/>
            <w:gridSpan w:val="5"/>
            <w:tcBorders/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W sprawie pojęcia „modernizacja”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firstLine="46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W związku z pojawiającymi się wątpliwościami związanymi z brakiem w przepisach ustawy z dnia 7 lipca 1994r. - Prawo budowlane (Dz. U. z 2003 r. Nr 207, poz. 2016 z późn. zm.) pojęcia „modernizacja”, przedstawiamy interpretację zagadnień prawnych związanych z tym problemem. </w:t>
            </w:r>
          </w:p>
          <w:p>
            <w:pPr>
              <w:pStyle w:val="Normal"/>
              <w:spacing w:lineRule="auto" w:line="240" w:before="0" w:after="0"/>
              <w:ind w:firstLine="460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Pojęcie „modernizacji” zostało wykreślone z art. 3 pkt 7 ustawy - Prawo budowlane przez art. 90 pkt 2 lit. a ustawy z dnia 24 lipca 1998 r. o zmianie niektórych ustaw określających kompetencje organów administracji publicznej - w związku z reformą ustrojową państwa (Dz. U. Nr 106, poz. 668 z późn. zm.). Zmiana ta weszła w życie z dniem 1 stycznia 1999 r. Ustawodawca dokonując zmian w Prawie budowlanym, związanych z reformą administracyjną państwa w ogóle zrezygnował z posługiwania się pojęciem „modernizacja”, wprowadzając równocześnie zmianę definicji remontu. W obecnym stanie prawnym w art. 3 pkt 6 ustawy - Prawo budowlane podano definicję: „budowy - należy przez to rozumieć wykonywanie obiektu budowlanego w określonym miejscu, a także odbudowę, rozbudowę, nadbudowę obiektu budowlanego”. W art. 3 pkt 7 zdefiniowano: „roboty budowlane - należy przez to rozumieć budowę, a także prace polegające na przebudowie, montażu, remoncie lub rozbiórce obiektu budowlanego”. W pkt 8 art. 3 określony został „remont - należy przez to rozumieć wykonywanie w istniejącym obiekcie budowlanym robót budowlanych polegających na odtworzeniu stanu pierwotnego, a niestanowiących bieżącej konserwacji, przy czym dopuszcza się stosowanie wyrobów budowlanych innych niż użyto w stanie pierwotnym”. Natomiast pkt 7a art. 3 zdefiniował pojęcie „przebudowy - należy przez to rozumieć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kondygnacji; w przypadku dróg są dopuszczalne zmiany charakterystycznych parametrów w zakresie niewymagającym zmiany granic pasa drogowego.” W ten sposób ustawodawca jednoznacznie zdefiniował i uporządkował zakres pojęciowy występujący w przepisach Prawa budowlanego, w tym również rozwiązał jasno kwestię zakwalifikowania „modernizacji”. Pojęcie „modernizacja” mieści się w zakresie pojęciowym „remontu”, „przebudowy” albo „rozbudowy”. Zatem, odpowiednie zakwalifikowanie wykonywanych robót budowlanych ma istotne znaczenie w przypadku rozbudowy lub wykonywania robót budowlanych, dotyczących przebudowy albo remontu. Jest to związane z obowiązkiem wydania przez organ administracji architektoniczno-budowlanej odpowiednio pozwolenia na budowę (art. 28 ustawy - Prawo budowlane) lub przyjęcie zgłoszenia (art. 29 i 30 ustawy - Prawo budowlane). Jednakże mając na uwadze, że brak pojęcia „modernizacja” może powodować wątpliwości w zakresie prawidłowego zakwalifikowania wykonywanych robót budowlanych, szczególnie dotyczących projektów realizowanych ze środków Unii Europejskiej, dopuszcza się umieszczanie, w razie konieczności, w wydawanych decyzjach o pozwoleniu na budowę, dotyczących przebudowy albo rozbudowy, w nawiasie określenia „modernizacja”. Należy natomiast podkreślić, że wydawanie pozwolenia na budowę - wykonanie robót budowlanych określonych w decyzji jedynie pojęciem „modernizacja”, które nie występuje w ustawie - Prawo budowlane – nie jest właściwe. Akt administracyjny, jakim jest decyzja o pozwoleniu na budowę, musi obejmować wyłącznie ustawowo określoną nomenklaturę.</w:t>
            </w:r>
          </w:p>
        </w:tc>
      </w:tr>
      <w:tr>
        <w:trPr/>
        <w:tc>
          <w:tcPr>
            <w:tcW w:w="70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824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Istnieje rozbieżność pomiędzy dokumentami, nie jest jednoznacznie określone czy Wykonawca będzie zobligowany do wykonania prac, na które wymagane jest pozwolenie na budowę czy wymagających zgłoszenia.</w:t>
            </w:r>
          </w:p>
        </w:tc>
        <w:tc>
          <w:tcPr>
            <w:tcW w:w="850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Projektant winien dokonać oceny przedsięwzięcia pod kątem zgodności z prawem budowlanym zrealizować przedsięwzięcie zgodnie z przepisami </w:t>
            </w:r>
          </w:p>
        </w:tc>
      </w:tr>
      <w:tr>
        <w:trPr/>
        <w:tc>
          <w:tcPr>
            <w:tcW w:w="702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3327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Zgodność zamierzenia budowlanego z wymaganiami  wynikającymi z przepisów odrębnych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 związkiem z brakiem Miejscowego planu zagospodarowania przestrzennego dla miasta Proszowice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FF0000"/>
                <w:sz w:val="24"/>
                <w:szCs w:val="24"/>
              </w:rPr>
              <w:t>dla przedmiotowego obszaru została wydana Decyzja o lokalizacji inwestycji celu publicznego znak WIP-RM.6733.26.2017 z dn.  27.02.2018  r.,  na podstawie art. 50 ust.1, art.51 ust.1, punkt 2 ustawy z dnia 27 marca 2003 roku o planowaniu i zagospodarowaniu przestrzennym(t.t. Dz. U. z 2017 r. poz. 1073) oraz art. 104 Kodeks postępowania administracyjnego (Dz. U.z 2017 roku poz. 1257).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Oświadczenie Zamawiającego stwierdzające jego prawo do dysponowania nieruchomością na cele budowlane  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Inwestor jest w posiadaniu kopii mapy zasadniczej – dołączono,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Kopia mapy zasadniczej.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Inwestor jest w posiadaniu kopii mapy zasadniczej – dołączono,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Wyniki badań gruntowo-wodnych na terenie budowy dla potrzeb posadowienia obiektów.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FF0000"/>
                <w:sz w:val="24"/>
                <w:szCs w:val="24"/>
              </w:rPr>
              <w:t xml:space="preserve">Zgodnie z </w:t>
            </w:r>
            <w:r>
              <w:rPr>
                <w:rFonts w:cs="Calibri" w:cstheme="minorHAnsi"/>
                <w:color w:val="FF0000"/>
                <w:sz w:val="24"/>
                <w:szCs w:val="24"/>
              </w:rPr>
              <w:t>§</w:t>
            </w:r>
            <w:r>
              <w:rPr>
                <w:color w:val="FF0000"/>
                <w:sz w:val="24"/>
                <w:szCs w:val="24"/>
              </w:rPr>
              <w:t xml:space="preserve"> 19.4) (…) inne </w:t>
            </w:r>
            <w:r>
              <w:rPr>
                <w:color w:val="FF0000"/>
                <w:sz w:val="24"/>
                <w:szCs w:val="24"/>
                <w:u w:val="single"/>
              </w:rPr>
              <w:t>posiadane informacje lub dokumenty</w:t>
            </w:r>
            <w:r>
              <w:rPr>
                <w:color w:val="FF0000"/>
                <w:sz w:val="24"/>
                <w:szCs w:val="24"/>
              </w:rPr>
              <w:t xml:space="preserve"> (…) Rozporządzenia Ministra Infrastruktury w sprawie szczegółowego zakresu i formy dokumentacji projektowej, specyfikacji technicznych wykonania i odbioru robót budowlanych oraz programu funkcjonalno-użytkowego z dnia 2 września 2004 r. (t.j. </w:t>
            </w:r>
            <w:hyperlink r:id="rId2">
              <w:r>
                <w:rPr>
                  <w:rStyle w:val="Czeinternetowe"/>
                  <w:color w:val="FF0000"/>
                  <w:sz w:val="24"/>
                  <w:szCs w:val="24"/>
                </w:rPr>
                <w:t>Dz.U. 2013 poz. 1129</w:t>
              </w:r>
            </w:hyperlink>
            <w:r>
              <w:rPr>
                <w:color w:val="FF0000"/>
                <w:sz w:val="24"/>
                <w:szCs w:val="24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Zalecenia konserwatorskie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FF0000"/>
                <w:sz w:val="24"/>
                <w:szCs w:val="24"/>
              </w:rPr>
              <w:t xml:space="preserve">Zgodnie z </w:t>
            </w:r>
            <w:r>
              <w:rPr>
                <w:rFonts w:cs="Calibri" w:cstheme="minorHAnsi"/>
                <w:color w:val="FF0000"/>
                <w:sz w:val="24"/>
                <w:szCs w:val="24"/>
              </w:rPr>
              <w:t>§</w:t>
            </w:r>
            <w:r>
              <w:rPr>
                <w:color w:val="FF0000"/>
                <w:sz w:val="24"/>
                <w:szCs w:val="24"/>
              </w:rPr>
              <w:t xml:space="preserve"> 19.4) (…) inne </w:t>
            </w:r>
            <w:r>
              <w:rPr>
                <w:color w:val="FF0000"/>
                <w:sz w:val="24"/>
                <w:szCs w:val="24"/>
                <w:u w:val="single"/>
              </w:rPr>
              <w:t>posiadane informacje lub dokumenty</w:t>
            </w:r>
            <w:r>
              <w:rPr>
                <w:color w:val="FF0000"/>
                <w:sz w:val="24"/>
                <w:szCs w:val="24"/>
              </w:rPr>
              <w:t xml:space="preserve"> (…) Rozporządzenia Ministra Infrastruktury w sprawie szczegółowego zakresu i formy dokumentacji projektowej, specyfikacji technicznych wykonania i odbioru robót budowlanych oraz programu funkcjonalno-użytkowego z dnia 2 września 2004 r. (t.j. </w:t>
            </w:r>
            <w:hyperlink r:id="rId3">
              <w:r>
                <w:rPr>
                  <w:rStyle w:val="Czeinternetowe"/>
                  <w:color w:val="FF0000"/>
                  <w:sz w:val="24"/>
                  <w:szCs w:val="24"/>
                </w:rPr>
                <w:t>Dz.U. 2013 poz. 1129</w:t>
              </w:r>
            </w:hyperlink>
            <w:r>
              <w:rPr>
                <w:color w:val="FF0000"/>
                <w:sz w:val="24"/>
                <w:szCs w:val="24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Porozumienia, zgody lub pozwolenia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FF0000"/>
                <w:sz w:val="24"/>
                <w:szCs w:val="24"/>
              </w:rPr>
              <w:t xml:space="preserve">Zgodnie z </w:t>
            </w:r>
            <w:r>
              <w:rPr>
                <w:rFonts w:cs="Calibri" w:cstheme="minorHAnsi"/>
                <w:color w:val="FF0000"/>
                <w:sz w:val="24"/>
                <w:szCs w:val="24"/>
              </w:rPr>
              <w:t>§</w:t>
            </w:r>
            <w:r>
              <w:rPr>
                <w:color w:val="FF0000"/>
                <w:sz w:val="24"/>
                <w:szCs w:val="24"/>
              </w:rPr>
              <w:t xml:space="preserve"> 19.4) (…) inne </w:t>
            </w:r>
            <w:r>
              <w:rPr>
                <w:color w:val="FF0000"/>
                <w:sz w:val="24"/>
                <w:szCs w:val="24"/>
                <w:u w:val="single"/>
              </w:rPr>
              <w:t>posiadane informacje lub dokumenty</w:t>
            </w:r>
            <w:r>
              <w:rPr>
                <w:color w:val="FF0000"/>
                <w:sz w:val="24"/>
                <w:szCs w:val="24"/>
              </w:rPr>
              <w:t xml:space="preserve"> (…) Rozporządzenia Ministra Infrastruktury w sprawie szczegółowego zakresu i formy dokumentacji projektowej, specyfikacji technicznych wykonania i odbioru robót budowlanych oraz programu funkcjonalno-użytkowego z dnia 2 września 2004 r. (t.j. </w:t>
            </w:r>
            <w:hyperlink r:id="rId4">
              <w:r>
                <w:rPr>
                  <w:rStyle w:val="Czeinternetowe"/>
                  <w:color w:val="FF0000"/>
                  <w:sz w:val="24"/>
                  <w:szCs w:val="24"/>
                </w:rPr>
                <w:t>Dz.U. 2013 poz. 1129</w:t>
              </w:r>
            </w:hyperlink>
            <w:r>
              <w:rPr>
                <w:color w:val="FF0000"/>
                <w:sz w:val="24"/>
                <w:szCs w:val="24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Dane dotyczące zanieczyszczeń atmosfery do analizy ochrony powietrza oraz posiadane raporty, opinie lub ekspertyzy z zakresu ochrony środowiska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FF0000"/>
                <w:sz w:val="24"/>
                <w:szCs w:val="24"/>
              </w:rPr>
              <w:t xml:space="preserve">Zgodnie z </w:t>
            </w:r>
            <w:r>
              <w:rPr>
                <w:rFonts w:cs="Calibri" w:cstheme="minorHAnsi"/>
                <w:color w:val="FF0000"/>
                <w:sz w:val="24"/>
                <w:szCs w:val="24"/>
              </w:rPr>
              <w:t>§</w:t>
            </w:r>
            <w:r>
              <w:rPr>
                <w:color w:val="FF0000"/>
                <w:sz w:val="24"/>
                <w:szCs w:val="24"/>
              </w:rPr>
              <w:t xml:space="preserve"> 19.4) (…) inne </w:t>
            </w:r>
            <w:r>
              <w:rPr>
                <w:color w:val="FF0000"/>
                <w:sz w:val="24"/>
                <w:szCs w:val="24"/>
                <w:u w:val="single"/>
              </w:rPr>
              <w:t>posiadane informacje lub dokumenty</w:t>
            </w:r>
            <w:r>
              <w:rPr>
                <w:color w:val="FF0000"/>
                <w:sz w:val="24"/>
                <w:szCs w:val="24"/>
              </w:rPr>
              <w:t xml:space="preserve"> (…) Rozporządzenia Ministra Infrastruktury w sprawie szczegółowego zakresu i formy dokumentacji projektowej, specyfikacji technicznych wykonania i odbioru robót budowlanych oraz programu funkcjonalno-użytkowego z dnia 2 września 2004 r. (t.j. </w:t>
            </w:r>
            <w:hyperlink r:id="rId5">
              <w:r>
                <w:rPr>
                  <w:rStyle w:val="Czeinternetowe"/>
                  <w:color w:val="FF0000"/>
                  <w:sz w:val="24"/>
                  <w:szCs w:val="24"/>
                </w:rPr>
                <w:t>Dz.U. 2013 poz. 1129</w:t>
              </w:r>
            </w:hyperlink>
            <w:r>
              <w:rPr>
                <w:color w:val="FF0000"/>
                <w:sz w:val="24"/>
                <w:szCs w:val="24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Inwentaryzacja obiektów budowlanych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color w:val="FF0000"/>
                <w:sz w:val="24"/>
                <w:szCs w:val="24"/>
              </w:rPr>
              <w:t xml:space="preserve">Zgodnie z </w:t>
            </w:r>
            <w:r>
              <w:rPr>
                <w:rFonts w:cs="Calibri" w:cstheme="minorHAnsi"/>
                <w:color w:val="FF0000"/>
                <w:sz w:val="24"/>
                <w:szCs w:val="24"/>
              </w:rPr>
              <w:t>§</w:t>
            </w:r>
            <w:r>
              <w:rPr>
                <w:color w:val="FF0000"/>
                <w:sz w:val="24"/>
                <w:szCs w:val="24"/>
              </w:rPr>
              <w:t xml:space="preserve"> 19.4) (…) inne </w:t>
            </w:r>
            <w:r>
              <w:rPr>
                <w:color w:val="FF0000"/>
                <w:sz w:val="24"/>
                <w:szCs w:val="24"/>
                <w:u w:val="single"/>
              </w:rPr>
              <w:t>posiadane informacje lub dokumenty</w:t>
            </w:r>
            <w:r>
              <w:rPr>
                <w:color w:val="FF0000"/>
                <w:sz w:val="24"/>
                <w:szCs w:val="24"/>
              </w:rPr>
              <w:t xml:space="preserve"> (…) Rozporządzenia Ministra Infrastruktury w sprawie szczegółowego zakresu i formy dokumentacji projektowej, specyfikacji technicznych wykonania i odbioru robót budowlanych oraz programu funkcjonalno-użytkowego z dnia 2 września 2004 r. (t.j. </w:t>
            </w:r>
            <w:hyperlink r:id="rId6">
              <w:r>
                <w:rPr>
                  <w:rStyle w:val="Czeinternetowe"/>
                  <w:color w:val="FF0000"/>
                  <w:sz w:val="24"/>
                  <w:szCs w:val="24"/>
                </w:rPr>
                <w:t>Dz.U. 2013 poz. 1129</w:t>
              </w:r>
            </w:hyperlink>
            <w:r>
              <w:rPr>
                <w:color w:val="FF0000"/>
                <w:sz w:val="24"/>
                <w:szCs w:val="24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/>
      </w:r>
    </w:p>
    <w:sectPr>
      <w:headerReference w:type="default" r:id="rId7"/>
      <w:type w:val="nextPage"/>
      <w:pgSz w:orient="landscape" w:w="16838" w:h="11906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bottom w:val="single" w:sz="4" w:space="1" w:color="00000A"/>
      </w:pBdr>
      <w:rPr>
        <w:i/>
        <w:i/>
      </w:rPr>
    </w:pPr>
    <w:r>
      <w:rPr>
        <w:i/>
      </w:rPr>
    </w:r>
  </w:p>
  <w:p>
    <w:pPr>
      <w:pStyle w:val="Gwka"/>
      <w:pBdr>
        <w:bottom w:val="single" w:sz="4" w:space="1" w:color="00000A"/>
      </w:pBdr>
      <w:rPr>
        <w:i/>
        <w:i/>
      </w:rPr>
    </w:pPr>
    <w:r>
      <w:rPr>
        <w:i/>
      </w:rPr>
      <w:t>Proszowice - Amfiteatr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403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403c5"/>
    <w:rPr/>
  </w:style>
  <w:style w:type="character" w:styleId="Strong">
    <w:name w:val="Strong"/>
    <w:basedOn w:val="DefaultParagraphFont"/>
    <w:uiPriority w:val="22"/>
    <w:qFormat/>
    <w:rsid w:val="00c77bba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35a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b/>
      <w:sz w:val="24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6403c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6403c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403c5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77b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35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403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wo.sejm.gov.pl/isap.nsf/DocDetails.xsp?id=WDU20130001129" TargetMode="External"/><Relationship Id="rId3" Type="http://schemas.openxmlformats.org/officeDocument/2006/relationships/hyperlink" Target="http://prawo.sejm.gov.pl/isap.nsf/DocDetails.xsp?id=WDU20130001129" TargetMode="External"/><Relationship Id="rId4" Type="http://schemas.openxmlformats.org/officeDocument/2006/relationships/hyperlink" Target="http://prawo.sejm.gov.pl/isap.nsf/DocDetails.xsp?id=WDU20130001129" TargetMode="External"/><Relationship Id="rId5" Type="http://schemas.openxmlformats.org/officeDocument/2006/relationships/hyperlink" Target="http://prawo.sejm.gov.pl/isap.nsf/DocDetails.xsp?id=WDU20130001129" TargetMode="External"/><Relationship Id="rId6" Type="http://schemas.openxmlformats.org/officeDocument/2006/relationships/hyperlink" Target="http://prawo.sejm.gov.pl/isap.nsf/DocDetails.xsp?id=WDU20130001129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Application>LibreOffice/5.0.3.2$Windows_x86 LibreOffice_project/e5f16313668ac592c1bfb310f4390624e3dbfb75</Application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2019-07-25T08:13:00Z</dcterms:created>
  <dc:creator>Piotr Jasion</dc:creator>
  <dc:language>pl-PL</dc:language>
  <dcterms:modified xsi:type="dcterms:W3CDTF">2019-07-26T19:19:09Z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