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b/>
          <w:b/>
          <w:i/>
          <w:i/>
          <w:sz w:val="24"/>
          <w:szCs w:val="24"/>
        </w:rPr>
      </w:pPr>
      <w:r>
        <w:rPr/>
        <w:drawing>
          <wp:anchor behindDoc="0" distT="0" distB="7620" distL="114300" distR="121920" simplePos="0" locked="0" layoutInCell="1" allowOverlap="1" relativeHeight="2">
            <wp:simplePos x="0" y="0"/>
            <wp:positionH relativeFrom="column">
              <wp:posOffset>-184785</wp:posOffset>
            </wp:positionH>
            <wp:positionV relativeFrom="paragraph">
              <wp:posOffset>-488315</wp:posOffset>
            </wp:positionV>
            <wp:extent cx="5974080" cy="487045"/>
            <wp:effectExtent l="0" t="0" r="0" b="0"/>
            <wp:wrapTopAndBottom/>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rcRect l="0" t="0" r="1303" b="8215"/>
                    <a:stretch>
                      <a:fillRect/>
                    </a:stretch>
                  </pic:blipFill>
                  <pic:spPr bwMode="auto">
                    <a:xfrm>
                      <a:off x="0" y="0"/>
                      <a:ext cx="5974080" cy="487045"/>
                    </a:xfrm>
                    <a:prstGeom prst="rect">
                      <a:avLst/>
                    </a:prstGeom>
                  </pic:spPr>
                </pic:pic>
              </a:graphicData>
            </a:graphic>
          </wp:anchor>
        </w:drawing>
      </w:r>
    </w:p>
    <w:p>
      <w:pPr>
        <w:pStyle w:val="Normal"/>
        <w:spacing w:lineRule="auto" w:line="240" w:before="0" w:after="0"/>
        <w:rPr>
          <w:rFonts w:ascii="Times New Roman" w:hAnsi="Times New Roman" w:cs="Times New Roman"/>
          <w:b/>
          <w:b/>
          <w:i/>
          <w:i/>
          <w:sz w:val="24"/>
          <w:szCs w:val="24"/>
        </w:rPr>
      </w:pPr>
      <w:r>
        <w:rPr/>
      </w:r>
    </w:p>
    <w:p>
      <w:pPr>
        <w:pStyle w:val="Normal"/>
        <w:spacing w:lineRule="auto" w:line="240" w:before="0" w:after="0"/>
        <w:rPr>
          <w:rFonts w:ascii="Times New Roman" w:hAnsi="Times New Roman" w:cs="Times New Roman"/>
          <w:bCs/>
          <w:sz w:val="24"/>
          <w:szCs w:val="24"/>
          <w:highlight w:val="white"/>
        </w:rPr>
      </w:pPr>
      <w:r>
        <w:rPr>
          <w:rFonts w:cs="Times New Roman" w:ascii="Times New Roman" w:hAnsi="Times New Roman"/>
          <w:b/>
          <w:i/>
          <w:sz w:val="24"/>
          <w:szCs w:val="24"/>
        </w:rPr>
        <w:t>znak sprawy</w:t>
      </w:r>
      <w:r>
        <w:rPr>
          <w:rFonts w:cs="Times New Roman" w:ascii="Times New Roman" w:hAnsi="Times New Roman"/>
          <w:b/>
          <w:sz w:val="24"/>
          <w:szCs w:val="24"/>
        </w:rPr>
        <w:t>: WIP.271.7.2019</w:t>
      </w:r>
      <w:r>
        <w:rPr>
          <w:rFonts w:cs="Times New Roman" w:ascii="Times New Roman" w:hAnsi="Times New Roman"/>
          <w:b/>
          <w:bCs/>
          <w:sz w:val="24"/>
          <w:szCs w:val="24"/>
          <w:shd w:fill="FFFFFF" w:val="clear"/>
        </w:rPr>
        <w:tab/>
        <w:tab/>
        <w:t xml:space="preserve">                            </w:t>
        <w:tab/>
        <w:t>Proszowice</w:t>
      </w:r>
      <w:r>
        <w:rPr>
          <w:rFonts w:cs="Times New Roman" w:ascii="Times New Roman" w:hAnsi="Times New Roman"/>
          <w:bCs/>
          <w:sz w:val="24"/>
          <w:szCs w:val="24"/>
          <w:shd w:fill="FFFFFF" w:val="clear"/>
        </w:rPr>
        <w:t>, 03.07.2019 r.</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212"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0" w:noVBand="0" w:lastRow="0" w:firstColumn="0" w:lastColumn="0" w:noHBand="0" w:val="0000"/>
      </w:tblPr>
      <w:tblGrid>
        <w:gridCol w:w="4347"/>
        <w:gridCol w:w="711"/>
        <w:gridCol w:w="4154"/>
      </w:tblGrid>
      <w:tr>
        <w:trPr/>
        <w:tc>
          <w:tcPr>
            <w:tcW w:w="434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ODPOWIEDZI NA PYTANIA</w:t>
            </w:r>
          </w:p>
          <w:p>
            <w:pPr>
              <w:pStyle w:val="Normal"/>
              <w:jc w:val="center"/>
              <w:rPr>
                <w:rFonts w:ascii="Times New Roman" w:hAnsi="Times New Roman" w:cs="Times New Roman"/>
                <w:b/>
                <w:b/>
              </w:rPr>
            </w:pPr>
            <w:r>
              <w:rPr>
                <w:rFonts w:cs="Times New Roman" w:ascii="Times New Roman" w:hAnsi="Times New Roman"/>
                <w:b/>
              </w:rPr>
              <w:t xml:space="preserve">ZMIANA SIWZ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szCs w:val="24"/>
              </w:rPr>
              <w:t>zmiana terminu składania ofert</w:t>
            </w:r>
          </w:p>
        </w:tc>
        <w:tc>
          <w:tcPr>
            <w:tcW w:w="711" w:type="dxa"/>
            <w:tcBorders>
              <w:left w:val="single" w:sz="4" w:space="0" w:color="000001"/>
            </w:tcBorders>
            <w:shd w:fill="auto" w:val="clear"/>
          </w:tcPr>
          <w:p>
            <w:pPr>
              <w:pStyle w:val="Normal"/>
              <w:snapToGrid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Pieczęć Zamawiającego</w:t>
            </w:r>
          </w:p>
        </w:tc>
      </w:tr>
    </w:tbl>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b/>
          <w:sz w:val="24"/>
          <w:szCs w:val="24"/>
        </w:rPr>
        <w:t xml:space="preserve"> </w:t>
      </w:r>
    </w:p>
    <w:p>
      <w:pPr>
        <w:pStyle w:val="Normal"/>
        <w:spacing w:lineRule="auto" w:line="240" w:before="0" w:after="0"/>
        <w:ind w:hanging="90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sz w:val="24"/>
          <w:szCs w:val="24"/>
          <w:u w:val="single"/>
        </w:rPr>
        <w:t>dotyczy</w:t>
      </w:r>
      <w:r>
        <w:rPr>
          <w:rFonts w:cs="Times New Roman" w:ascii="Times New Roman" w:hAnsi="Times New Roman"/>
          <w:sz w:val="24"/>
          <w:szCs w:val="24"/>
        </w:rPr>
        <w:t>:</w:t>
        <w:tab/>
      </w:r>
      <w:r>
        <w:rPr>
          <w:rFonts w:cs="Times New Roman" w:ascii="Times New Roman" w:hAnsi="Times New Roman"/>
          <w:b/>
          <w:sz w:val="24"/>
          <w:szCs w:val="24"/>
        </w:rPr>
        <w:t>postępowania o udzielenie zamówienia publicznego w trybie przetargu</w:t>
      </w:r>
    </w:p>
    <w:p>
      <w:pPr>
        <w:pStyle w:val="Normal"/>
        <w:ind w:left="1416" w:firstLine="24"/>
        <w:jc w:val="both"/>
        <w:rPr>
          <w:rFonts w:ascii="Times New Roman" w:hAnsi="Times New Roman" w:cs="Times New Roman"/>
          <w:b/>
          <w:b/>
          <w:sz w:val="24"/>
          <w:szCs w:val="24"/>
        </w:rPr>
      </w:pPr>
      <w:r>
        <w:rPr>
          <w:rFonts w:cs="Times New Roman" w:ascii="Times New Roman" w:hAnsi="Times New Roman"/>
          <w:b/>
          <w:sz w:val="24"/>
          <w:szCs w:val="24"/>
        </w:rPr>
        <w:t xml:space="preserve">nieograniczonego na </w:t>
      </w:r>
      <w:r>
        <w:rPr>
          <w:rFonts w:cs="Times New Roman" w:ascii="Times New Roman" w:hAnsi="Times New Roman"/>
          <w:b/>
          <w:bCs/>
          <w:color w:val="000000"/>
          <w:sz w:val="24"/>
          <w:szCs w:val="24"/>
        </w:rPr>
        <w:t xml:space="preserve">modernizację hali sportowej przy ul. Parkowej w Proszowicach </w:t>
      </w:r>
      <w:r>
        <w:rPr>
          <w:rFonts w:cs="Times New Roman" w:ascii="Times New Roman" w:hAnsi="Times New Roman"/>
          <w:b/>
          <w:color w:val="000000"/>
          <w:sz w:val="24"/>
          <w:szCs w:val="24"/>
        </w:rPr>
        <w:t xml:space="preserve"> w formule </w:t>
      </w:r>
      <w:r>
        <w:rPr>
          <w:rFonts w:cs="Times New Roman" w:ascii="Times New Roman" w:hAnsi="Times New Roman"/>
          <w:b/>
          <w:bCs/>
          <w:color w:val="000000"/>
          <w:sz w:val="24"/>
          <w:szCs w:val="24"/>
        </w:rPr>
        <w:t>zaprojektuj i wybuduj</w:t>
      </w:r>
      <w:r>
        <w:rPr>
          <w:rFonts w:cs="Times New Roman" w:ascii="Times New Roman" w:hAnsi="Times New Roman"/>
          <w:b/>
          <w:color w:val="000000"/>
          <w:sz w:val="24"/>
          <w:szCs w:val="24"/>
        </w:rPr>
        <w:t xml:space="preserve"> w ramach projektu Przestrzenie czasu wolnego w mieście Proszowice </w:t>
      </w:r>
      <w:r>
        <w:rPr>
          <w:rFonts w:cs="Times New Roman" w:ascii="Times New Roman" w:hAnsi="Times New Roman"/>
          <w:b/>
          <w:sz w:val="24"/>
          <w:szCs w:val="24"/>
        </w:rPr>
        <w:t xml:space="preserve">– obszar sportu i rekreacji </w:t>
      </w:r>
      <w:r>
        <w:rPr>
          <w:rFonts w:cs="Times New Roman" w:ascii="Times New Roman" w:hAnsi="Times New Roman"/>
          <w:b/>
          <w:bCs/>
          <w:sz w:val="24"/>
          <w:szCs w:val="24"/>
        </w:rPr>
        <w:t xml:space="preserve">Oś 11. </w:t>
      </w:r>
      <w:r>
        <w:rPr>
          <w:rFonts w:cs="Times New Roman" w:ascii="Times New Roman" w:hAnsi="Times New Roman"/>
          <w:b/>
          <w:sz w:val="24"/>
          <w:szCs w:val="24"/>
        </w:rPr>
        <w:t xml:space="preserve">Rewitalizacja przestrzeni regionalnej, </w:t>
      </w:r>
      <w:r>
        <w:rPr>
          <w:rFonts w:cs="Times New Roman" w:ascii="Times New Roman" w:hAnsi="Times New Roman"/>
          <w:b/>
          <w:bCs/>
          <w:sz w:val="24"/>
          <w:szCs w:val="24"/>
        </w:rPr>
        <w:t xml:space="preserve">Działanie 11.1 </w:t>
      </w:r>
      <w:r>
        <w:rPr>
          <w:rFonts w:cs="Times New Roman" w:ascii="Times New Roman" w:hAnsi="Times New Roman"/>
          <w:b/>
          <w:sz w:val="24"/>
          <w:szCs w:val="24"/>
        </w:rPr>
        <w:t xml:space="preserve">Rewitalizacja miast, </w:t>
      </w:r>
      <w:r>
        <w:rPr>
          <w:rFonts w:cs="Times New Roman" w:ascii="Times New Roman" w:hAnsi="Times New Roman"/>
          <w:b/>
          <w:bCs/>
          <w:sz w:val="24"/>
          <w:szCs w:val="24"/>
        </w:rPr>
        <w:t xml:space="preserve">Poddziałanie 11.1.2 </w:t>
      </w:r>
      <w:r>
        <w:rPr>
          <w:rFonts w:cs="Times New Roman" w:ascii="Times New Roman" w:hAnsi="Times New Roman"/>
          <w:b/>
          <w:sz w:val="24"/>
          <w:szCs w:val="24"/>
        </w:rPr>
        <w:t xml:space="preserve">Rewitalizacja miast średnich i małych </w:t>
      </w:r>
      <w:r>
        <w:rPr>
          <w:rFonts w:cs="Times New Roman" w:ascii="Times New Roman" w:hAnsi="Times New Roman"/>
          <w:b/>
          <w:bCs/>
          <w:sz w:val="24"/>
          <w:szCs w:val="24"/>
        </w:rPr>
        <w:t>w ramach Regionalnego Programu Operacyjnego Województwa Małopolskiego na lata 2014-2020</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Standard"/>
        <w:jc w:val="both"/>
        <w:rPr>
          <w:b/>
          <w:b/>
          <w:szCs w:val="24"/>
        </w:rPr>
      </w:pPr>
      <w:r>
        <w:rPr>
          <w:szCs w:val="24"/>
        </w:rPr>
        <w:t xml:space="preserve">W związku z nadesłanymi pytaniami, Zamawiający – </w:t>
      </w:r>
      <w:r>
        <w:rPr>
          <w:b/>
          <w:bCs/>
          <w:szCs w:val="24"/>
        </w:rPr>
        <w:t>Gmina Proszowice, ul. 3 Maja 72,</w:t>
      </w:r>
      <w:r>
        <w:rPr>
          <w:szCs w:val="24"/>
        </w:rPr>
        <w:t xml:space="preserve"> na podstawie art. 38 ust. 1 i 2 ustawy z dnia 29 stycznia 2004 r. – Prawo zamówień publicznych (Dz. U. z 2018 r. poz. 1986) </w:t>
      </w:r>
      <w:r>
        <w:rPr>
          <w:b/>
          <w:szCs w:val="24"/>
        </w:rPr>
        <w:t>wyjaśnia:</w:t>
      </w:r>
    </w:p>
    <w:p>
      <w:pPr>
        <w:pStyle w:val="Normal"/>
        <w:spacing w:lineRule="auto" w:line="240" w:before="0" w:after="0"/>
        <w:rPr>
          <w:rFonts w:ascii="Times New Roman" w:hAnsi="Times New Roman" w:cs="Times New Roman"/>
          <w:b/>
          <w:b/>
          <w:color w:val="000000"/>
          <w:sz w:val="24"/>
          <w:szCs w:val="24"/>
          <w:highlight w:val="white"/>
        </w:rPr>
      </w:pPr>
      <w:r>
        <w:rPr>
          <w:rFonts w:cs="Times New Roman" w:ascii="Times New Roman" w:hAnsi="Times New Roman"/>
          <w:b/>
          <w:color w:val="000000"/>
          <w:sz w:val="24"/>
          <w:szCs w:val="24"/>
          <w:shd w:fill="FFFFFF" w:val="clear"/>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1</w:t>
        <w:br/>
      </w:r>
      <w:r>
        <w:rPr>
          <w:rFonts w:cs="Times New Roman" w:ascii="Times New Roman" w:hAnsi="Times New Roman"/>
          <w:color w:val="000000"/>
          <w:sz w:val="24"/>
          <w:szCs w:val="24"/>
          <w:shd w:fill="FFFFFF" w:val="clear"/>
        </w:rPr>
        <w:t>Czy Zamawiający dopuszcza możliwość zamiany funkcji w poszczególnych pomieszczeniach, uwzględniając przepisy prawa budowlanego, dotyczącego wymiarów pomieszczeń funkcyjnych, oraz zapewnienie prawidłowej funkcji obiektu i jego użytkowania? Pytanie jest zasadne uwzględniając niezgodności pomiędzy PFU a szczegółowymi rozwiązaniami architektonicznymi na rysunkach f-my VITARO.</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Dokumentem priorytetowym ustalającym szczegółowo funkcje w pomieszczeniach obiektu są rozwiązania wskazane w ramach rysunków pochodzących z dokumentacji projektowej firmy Vitaro. Dla zwiększenia czytelności dokumentacji przetargowej Zamawiający wprowadził do Programu-Funkcjonalno-Użytkowego stosowne korekty zapisów, rozstrzygające w sposób jednoznaczny o tym. Poza tym usunięto schematy ideowe I i II piętra budynku.</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Skorygowany Program Funkcjonalno-Użytkowy przedkłada się raz jeszcze w ramach uzupełnienia dokumentacji do przetargu.</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2</w:t>
        <w:br/>
      </w:r>
      <w:r>
        <w:rPr>
          <w:rFonts w:cs="Times New Roman" w:ascii="Times New Roman" w:hAnsi="Times New Roman"/>
          <w:color w:val="000000"/>
          <w:sz w:val="24"/>
          <w:szCs w:val="24"/>
          <w:shd w:fill="FFFFFF" w:val="clear"/>
        </w:rPr>
        <w:t>PFU nie uwzględnia robót zewnętrznych - np. drogi pożarowej na zewnątrz obiektu. Prosimy o dokładne określenie zakresu robót do wykonania w zakresie zagospodarowania wokół obiektu (drogi, parkingi).</w:t>
      </w:r>
    </w:p>
    <w:p>
      <w:pPr>
        <w:pStyle w:val="Normal"/>
        <w:spacing w:lineRule="auto" w:line="240" w:before="0" w:after="0"/>
        <w:rPr>
          <w:rFonts w:ascii="Times New Roman" w:hAnsi="Times New Roman" w:cs="Times New Roman"/>
          <w:color w:val="00206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 xml:space="preserve">W ramach zagospodarowania wokół obiektu Wykonawca winien wziąć pod uwagę roboty zewnętrzne (zgodnie z ustaleniami wskazanymi na rysunkach z dokumentacji VITARO), jedynie w zakresie niezbędnym do uzyskania pozwolenia na użytkowanie obiektu  (w tym w szczególności drogę pożarową).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b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3</w:t>
        <w:br/>
      </w:r>
      <w:r>
        <w:rPr>
          <w:rFonts w:cs="Times New Roman" w:ascii="Times New Roman" w:hAnsi="Times New Roman"/>
          <w:sz w:val="24"/>
          <w:szCs w:val="24"/>
          <w:shd w:fill="FFFFFF" w:val="clear"/>
        </w:rPr>
        <w:t>PFU zawiera zapis "W ramach przedsięwzięcia nie przewiduje się ingerencji w przestrzenie zlokalizowane na parterze budynku, które obecnie są użytkowane przez Miejski Ośrodek Sportu i Rekreacji w Proszowicach (za wyjątkiem pomieszczenia hali). W zakresie pomieszczenia hali sportowej przewiduje się wymianę istniejącej podłogi, (aktualnie jest zawilgocona i nie spełnia wymagań obecnych standardów obiektów sportowych) na podłogę sportową tj. sportową wykładzinę elastyczną nowej generacji".</w:t>
      </w:r>
      <w:r>
        <w:rPr>
          <w:rFonts w:cs="Times New Roman" w:ascii="Times New Roman" w:hAnsi="Times New Roman"/>
          <w:sz w:val="24"/>
          <w:szCs w:val="24"/>
        </w:rPr>
        <w:br/>
      </w:r>
      <w:r>
        <w:rPr>
          <w:rFonts w:cs="Times New Roman" w:ascii="Times New Roman" w:hAnsi="Times New Roman"/>
          <w:sz w:val="24"/>
          <w:szCs w:val="24"/>
          <w:shd w:fill="FFFFFF" w:val="clear"/>
        </w:rPr>
        <w:t>Powyższy zapis wskazuje na wykluczenie wszelkich robót w poziomie parteru, podczas gdy rysunki wskazują że na parterze będą do wykonania roboty budowlane (m.in. wyburzeniowe i modernizacyjne). Która dokumentacja ma być traktowana jako priorytetowa?</w:t>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Odpowiedź:</w:t>
      </w:r>
    </w:p>
    <w:p>
      <w:pPr>
        <w:pStyle w:val="Normal"/>
        <w:spacing w:lineRule="auto" w:line="240"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Dokumentację firmy VITARO (wskazany na jej rysunkach zakres)  należy traktować jako priorytetową. Wykonawca będzie zobowiązany do wykonania całości robót w zakresie  parteru budynku zgodnie z zakresem wskazanym w szczególności w zał. 2a do PF-U, wyznaczonym linią przerywaną A-B-C-D-E-F-G („Część objęta opracowaniem”). Zakres robót wykonanych na parterze musi gwarantować uzyskanie pozwolenia na użytkowanie obiektu.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Wprowadzono do Programu Funkcjonalno-Użytkowego korektę zapisów w celu zwiększenia czytelności dokumentacji przetargowej.</w:t>
      </w:r>
      <w:r>
        <w:rPr>
          <w:rFonts w:cs="Times New Roman" w:ascii="Times New Roman" w:hAnsi="Times New Roman"/>
          <w:sz w:val="24"/>
          <w:szCs w:val="24"/>
        </w:rPr>
        <w:b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4</w:t>
        <w:br/>
      </w:r>
      <w:r>
        <w:rPr>
          <w:rFonts w:cs="Times New Roman" w:ascii="Times New Roman" w:hAnsi="Times New Roman"/>
          <w:sz w:val="24"/>
          <w:szCs w:val="24"/>
          <w:shd w:fill="FFFFFF" w:val="clear"/>
        </w:rPr>
        <w:t>PFU zawiera zapis "W ramach przedsięwzięcia nie przewiduje się ingerencji w przestrzenie zlokalizowane na parterze budynku, które obecnie są użytkowane przez Miejski Ośrodek Sportu i Rekreacji w Proszowicach (za wyjątkiem pomieszczenia hali). W zakresie pomieszczenia hali sportowej przewiduje się wymianę istniejącej podłogi, (aktualnie jest zawilgocona i nie spełnia wymagań obecnych standardów obiektów sportowych) na podłogę sportową tj. sportową wykładzinę elastyczną nowej generacji".</w:t>
      </w:r>
      <w:r>
        <w:rPr>
          <w:rFonts w:cs="Times New Roman" w:ascii="Times New Roman" w:hAnsi="Times New Roman"/>
          <w:sz w:val="24"/>
          <w:szCs w:val="24"/>
        </w:rPr>
        <w:br/>
      </w:r>
      <w:r>
        <w:rPr>
          <w:rFonts w:cs="Times New Roman" w:ascii="Times New Roman" w:hAnsi="Times New Roman"/>
          <w:sz w:val="24"/>
          <w:szCs w:val="24"/>
          <w:shd w:fill="FFFFFF" w:val="clear"/>
        </w:rPr>
        <w:t>Roboty instalacyjne do wykonania w obiekcie będą nawiązywać do instalacji w poziomie parteru. Konieczne będą przeróbki istniejącej instalacji na tej kondygnacji. Czy powyższy zapis z PFU jest obowiązujący i traktować go priorytetowo?</w:t>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Wykonawca będzie zobowiązany do wykonania całości robót na parterze budynku zgodnie ze wskazanym zakresem w zał. 2a do PF-U, wyznaczonym linią przerywaną A-B-C-D-E-F-G („Część objęta opracowaniem”).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Wprowadzono do Programu Funkcjonalno-Użytkowego korektę zapisów w celu zwiększenia czytelności dokumentacji przetargowej.</w:t>
      </w:r>
      <w:r>
        <w:rPr>
          <w:rFonts w:cs="Times New Roman" w:ascii="Times New Roman" w:hAnsi="Times New Roman"/>
          <w:sz w:val="24"/>
          <w:szCs w:val="24"/>
        </w:rPr>
        <w:b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5</w:t>
        <w:br/>
      </w:r>
      <w:r>
        <w:rPr>
          <w:rFonts w:cs="Times New Roman" w:ascii="Times New Roman" w:hAnsi="Times New Roman"/>
          <w:sz w:val="24"/>
          <w:szCs w:val="24"/>
          <w:shd w:fill="FFFFFF" w:val="clear"/>
        </w:rPr>
        <w:t>Podczas prac remontowych odzyskany zostanie sprzęt sportowy. Czy należy przewidzieć utylizację starych urządzeń/wyposażenia hali, czy mają zostać przekazane Użytkownikowi?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Wszystkie urządzenia oraz sprzęt sportowy należy przekazać Użytkownikowi obiektu.</w:t>
        <w:b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6</w:t>
        <w:br/>
      </w:r>
      <w:r>
        <w:rPr>
          <w:rFonts w:cs="Times New Roman" w:ascii="Times New Roman" w:hAnsi="Times New Roman"/>
          <w:sz w:val="24"/>
          <w:szCs w:val="24"/>
          <w:shd w:fill="FFFFFF" w:val="clear"/>
        </w:rPr>
        <w:t>Czy Zamawiający przewiduje dostawę elementów wyposażenia na etapie wykonawstwa? Chodzi o wyposażenie ruchome hali sportowej – np. piłki, materace, bramki, siatki, piłkochwyty etc.?</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Dostawa wyposażenia będzie przedmiotem osobnego postępowania przetargowego.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7</w:t>
        <w:br/>
      </w:r>
      <w:r>
        <w:rPr>
          <w:rFonts w:cs="Times New Roman" w:ascii="Times New Roman" w:hAnsi="Times New Roman"/>
          <w:sz w:val="24"/>
          <w:szCs w:val="24"/>
          <w:shd w:fill="FFFFFF" w:val="clear"/>
        </w:rPr>
        <w:t>Czy należy przewidzieć wyposażenie remontowanych pomieszczeń administracyjno - biurowych?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Wyposażenie obiektu będzie przedmiotem osobnego postępowania przetargowego.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8</w:t>
        <w:br/>
      </w:r>
      <w:r>
        <w:rPr>
          <w:rFonts w:cs="Times New Roman" w:ascii="Times New Roman" w:hAnsi="Times New Roman"/>
          <w:sz w:val="24"/>
          <w:szCs w:val="24"/>
          <w:shd w:fill="FFFFFF" w:val="clear"/>
        </w:rPr>
        <w:t>Czy Zamawiający posiada aktualną inwentaryzację obiektu na podstawie której firma projektowa opracowała koncepcję przebudowy obiektu? Prosimy o udostępnienie dokumentacji.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Zamawiający dysponuje wykonaną inwentaryzacją obiektu Hali sportowej MOSiR. Inwentaryzacja nie zostanie jednak udostępniona w ramach dokumentacji przetargowej.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9</w:t>
        <w:br/>
      </w:r>
      <w:r>
        <w:rPr>
          <w:rFonts w:cs="Times New Roman" w:ascii="Times New Roman" w:hAnsi="Times New Roman"/>
          <w:sz w:val="24"/>
          <w:szCs w:val="24"/>
          <w:shd w:fill="FFFFFF" w:val="clear"/>
        </w:rPr>
        <w:t xml:space="preserve">9) Czy Zamawiający posiada aktualną inwentaryzację uzbrojenia terenu wokół obiektu? Jest to konieczne dla opracowania instalacji zewnętrznych. </w:t>
      </w:r>
      <w:r>
        <w:rPr>
          <w:rFonts w:cs="Times New Roman" w:ascii="Times New Roman" w:hAnsi="Times New Roman"/>
          <w:sz w:val="24"/>
          <w:szCs w:val="24"/>
        </w:rPr>
        <w:br/>
        <w:t>Inwentaryzacja nie zostanie udostępniona w ramach dokumentacji przetargowej.</w:t>
        <w:br/>
        <w:br/>
      </w:r>
      <w:r>
        <w:rPr>
          <w:rFonts w:cs="Times New Roman" w:ascii="Times New Roman" w:hAnsi="Times New Roman"/>
          <w:sz w:val="24"/>
          <w:szCs w:val="24"/>
          <w:shd w:fill="FFFFFF" w:val="clear"/>
        </w:rPr>
        <w:t>9) Rysunki przesłane z dokumentacją przetargową nie są spójne z wymogami przedstawionymi w PF-U. Prosimy o odpowiedź czy elementy zewnętrzne - np. renowacja trybun zewnętrznych od strony boiska sportowego widniejąca na rysunku A-PB-02 jest elementem Państwa zapytania?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Zamawiający potwierdza, że trybuna zewnętrzna nie mieści się w zakresie zapytania. Wykonawca powinien jednak uwzględnić w zakresie wyceny schody zewnętrzne (ewakuacyjne), które są niezbędne dla potrzeb uzyskania pozwolenia na użytkowanie obiektu.</w:t>
        <w:b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Pytanie: 10</w:t>
        <w:br/>
      </w:r>
      <w:r>
        <w:rPr>
          <w:rFonts w:cs="Times New Roman" w:ascii="Times New Roman" w:hAnsi="Times New Roman"/>
          <w:sz w:val="24"/>
          <w:szCs w:val="24"/>
          <w:shd w:fill="FFFFFF" w:val="clear"/>
        </w:rPr>
        <w:t>Kto będzie ponosić koszty eksploatacyjne i serwisowania w okresie gwarancji? Zwyczajowo przyjmuje się że koszty te ponosi Użytkownik obiektu.</w:t>
      </w:r>
      <w:r>
        <w:rPr>
          <w:rFonts w:cs="Times New Roman" w:ascii="Times New Roman" w:hAnsi="Times New Roman"/>
          <w:sz w:val="24"/>
          <w:szCs w:val="24"/>
        </w:rPr>
        <w:br/>
      </w: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Koszty eksploatacyjne i serwisowania w okresie gwarancji ponosić będzie Gmina (MOSiR).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rPr>
        <w:t>Pytanie: 11</w:t>
        <w:br/>
      </w:r>
      <w:r>
        <w:rPr>
          <w:rFonts w:cs="Times New Roman" w:ascii="Times New Roman" w:hAnsi="Times New Roman"/>
          <w:sz w:val="24"/>
          <w:szCs w:val="24"/>
          <w:shd w:fill="FFFFFF" w:val="clear"/>
        </w:rPr>
        <w:t>Czy Inwestor przewiduje ponoszenie kosztów obsługi biura projektowego w trakcie realizacji inwestycji i sporządzania ewentualnych nadzorów autorskich?</w:t>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Odpowiedź:</w:t>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Nie przewiduje się ponoszenia kosztów obsługi biura projektowego w trakcie realizacji inwestycji.</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12</w:t>
        <w:br/>
      </w:r>
      <w:r>
        <w:rPr>
          <w:rFonts w:cs="Times New Roman" w:ascii="Times New Roman" w:hAnsi="Times New Roman"/>
          <w:color w:val="000000"/>
          <w:sz w:val="24"/>
          <w:szCs w:val="24"/>
          <w:shd w:fill="FFFFFF" w:val="clear"/>
        </w:rPr>
        <w:t>Czy Inwestor jest w posiadaniu jakichkolwiek badań geotechnicznych, mając na uwadze konieczność posadowienia szybu windowego poza obrysem istniejącego obiektu? Uwzględniając krótki okres przygotowania oferty prosimy szybkie udostępnienie dokumentacji geotechnicznej.</w:t>
      </w:r>
    </w:p>
    <w:p>
      <w:pPr>
        <w:pStyle w:val="Normal"/>
        <w:spacing w:lineRule="auto" w:line="240" w:before="0" w:after="0"/>
        <w:rPr>
          <w:rFonts w:ascii="Times New Roman" w:hAnsi="Times New Roman" w:cs="Times New Roman"/>
          <w:color w:val="00206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Zamawiający dysponuje wykonaną dokumentacją z badań geotechnicznych. Inwentaryzacja nie zostanie jednak udostępniona w ramach dokumentacji przetargowej.</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13</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W PFU wspominają Państwo o wykonaniu termomodernizacji obiektu zgodnie z Audytem Energetycznym, który nie jest załączony do dokumentacji przetargowej. W związku z tym prosimy o udostępnienie Audytu Energetycznego.</w:t>
      </w:r>
    </w:p>
    <w:p>
      <w:pPr>
        <w:pStyle w:val="Normal"/>
        <w:spacing w:lineRule="auto" w:line="240" w:before="0" w:after="0"/>
        <w:rPr>
          <w:rFonts w:ascii="Times New Roman" w:hAnsi="Times New Roman" w:cs="Times New Roman"/>
          <w:color w:val="00206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sz w:val="24"/>
          <w:szCs w:val="24"/>
        </w:rPr>
        <w:t>Przedkładamy w ramach uzupełnienia dokumentacji przetargowej Audyt Energetyczny. Zaktualizowano również w tym zakresie zapisy w PF-U.</w:t>
        <w:br/>
      </w:r>
      <w:r>
        <w:rPr>
          <w:rFonts w:cs="Times New Roman" w:ascii="Times New Roman" w:hAnsi="Times New Roman"/>
          <w:color w:val="000000"/>
          <w:sz w:val="24"/>
          <w:szCs w:val="24"/>
        </w:rPr>
        <w:br/>
        <w:t>Pytanie: 14</w:t>
        <w:br/>
      </w:r>
      <w:r>
        <w:rPr>
          <w:rFonts w:cs="Times New Roman" w:ascii="Times New Roman" w:hAnsi="Times New Roman"/>
          <w:color w:val="000000"/>
          <w:sz w:val="24"/>
          <w:szCs w:val="24"/>
          <w:shd w:fill="FFFFFF" w:val="clear"/>
        </w:rPr>
        <w:t>Przekrój pokazuje warstwy wykończenia posadzki hali (P3). Czy w projekcie wymiany posadzki hali ma znajdować się również wymiana podbudów i konstrukcji posadzki (w tym warstwy chudego betonu, styropianu, wylewki i folii)?</w:t>
      </w:r>
    </w:p>
    <w:p>
      <w:pPr>
        <w:pStyle w:val="Normal"/>
        <w:spacing w:lineRule="auto" w:line="240" w:before="0" w:after="0"/>
        <w:rPr>
          <w:rFonts w:ascii="Times New Roman" w:hAnsi="Times New Roman" w:cs="Times New Roman"/>
          <w:color w:val="00206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Tak, należy wziąć pod uwagę ten zakres robót.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15</w:t>
        <w:br/>
      </w:r>
      <w:r>
        <w:rPr>
          <w:rFonts w:cs="Times New Roman" w:ascii="Times New Roman" w:hAnsi="Times New Roman"/>
          <w:color w:val="000000"/>
          <w:sz w:val="24"/>
          <w:szCs w:val="24"/>
          <w:shd w:fill="FFFFFF" w:val="clear"/>
        </w:rPr>
        <w:t>Kto w okresie gwarancyjnym pokrywał będzie koszty płatnych przeglądów gwarancyjnych niezbędnych dla zachowania gwarancji na urządzenia oraz kto pokrywał będzie koszty przeglądów i czynności eksploatacyjnych wraz z wymianą materiałów eksploatacyjnych np. filtry powietrza do central wentylacyjnych, itp.?</w:t>
      </w:r>
    </w:p>
    <w:p>
      <w:pPr>
        <w:pStyle w:val="Normal"/>
        <w:spacing w:lineRule="auto" w:line="240" w:before="0" w:after="0"/>
        <w:rPr>
          <w:rFonts w:ascii="Times New Roman" w:hAnsi="Times New Roman" w:cs="Times New Roman"/>
          <w:color w:val="002060"/>
          <w:sz w:val="24"/>
          <w:szCs w:val="24"/>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Koszty te będzie ponosić Gmina (MOSiR).</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16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Czy Zamawiający definiuje z jakiego materiału ma być wykonana wymieniona stolarka dla obiektu? PCV czy Aluminium? PFU ani opisy nie zawierają informacji oprócz współczynnika przenikania ciepła na poziomie 0,9 W/m2K. </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Zakłada się stolarkę okienną aluminiową. Ponadto przyjmuje się, że stolarka powinna zostać wykonana zgodnie z założeniami przedstawionymi w Audycie Energetycznym. W ramach uzupełnienia dokumentacji przetargowej przedkłada się zał. 2g – Audyt energetyczny.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17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 PFU przyjęto termomodernizację styropianem gr. 15cm, natomiast na załączonym rysunku A-PW-06 - w opisie warstwy S2 - przyjęto wełnę skalną gr. 8cm lub styropian EPS gr. 10cm. Prosimy o decyzję które rozwiązanie przyjąć do oferty.</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Rozwiązania w zakresie termomodernizacji obiektu określone zostały w Audycie Energetycznym, który przedkłada się w ramach uzupełnienia dokumentacji przetargowej. Zaktualizowana również zapisy PF-U w tym zakresie.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18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 PFU przyjęto modernizację dachu hali sportowej z zastosowaniem płyty z wełny mineralnej gr. 25 cm, natomiast na załączonym rysunku A-PW-06 - w opisie warstwy D3 - przyjęto płytę PIR gr. 16 cm. Prosimy o decyzję które rozwiązanie przyjąć do oferty.</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Rozwiązania w zakresie termomodernizacji obiektu określone zostały w Audycie Energetycznym, który przedkłada się w ramach uzupełnienia dokumentacji przetargowej (zał. 2 g).</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Poniżej przedstawiono informacje dot. rozwiązań w zakresie termomodernizacji, które zaktualizowano również w PF-U:</w:t>
      </w:r>
    </w:p>
    <w:p>
      <w:pPr>
        <w:pStyle w:val="Normal"/>
        <w:numPr>
          <w:ilvl w:val="0"/>
          <w:numId w:val="1"/>
        </w:numPr>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Modernizacja przegrody Podłoga na gruncie sala </w:t>
      </w:r>
    </w:p>
    <w:p>
      <w:pPr>
        <w:pStyle w:val="Normal"/>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Wymagana grubość dodatkowej warstwy izolacji termicznej: 15 cm </w:t>
      </w:r>
    </w:p>
    <w:p>
      <w:pPr>
        <w:pStyle w:val="Normal"/>
        <w:spacing w:lineRule="auto" w:line="276" w:before="0" w:after="0"/>
        <w:ind w:left="426" w:hanging="284"/>
        <w:rPr>
          <w:rFonts w:ascii="Times New Roman" w:hAnsi="Times New Roman" w:cs="Times New Roman"/>
          <w:sz w:val="24"/>
        </w:rPr>
      </w:pPr>
      <w:r>
        <w:rPr>
          <w:rFonts w:cs="Times New Roman" w:ascii="Times New Roman" w:hAnsi="Times New Roman"/>
          <w:sz w:val="24"/>
        </w:rPr>
        <w:t>Zastosowany materiał izolacji termicznej:    Płyty XPS grubość 150 mm;</w:t>
      </w:r>
    </w:p>
    <w:p>
      <w:pPr>
        <w:pStyle w:val="Normal"/>
        <w:numPr>
          <w:ilvl w:val="0"/>
          <w:numId w:val="1"/>
        </w:numPr>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Modernizacja przegrody Stropodach </w:t>
      </w:r>
    </w:p>
    <w:p>
      <w:pPr>
        <w:pStyle w:val="Normal"/>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Wymagana grubość dodatkowej warstwy izolacji termicznej: 22 cm </w:t>
      </w:r>
    </w:p>
    <w:p>
      <w:pPr>
        <w:pStyle w:val="Normal"/>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Zastosowany materiał izolacji termicznej:    Płyta styropianowa EPS </w:t>
      </w:r>
    </w:p>
    <w:p>
      <w:pPr>
        <w:pStyle w:val="Normal"/>
        <w:numPr>
          <w:ilvl w:val="0"/>
          <w:numId w:val="1"/>
        </w:numPr>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Modernizacja przegrody Dach sali gimnastycznej </w:t>
      </w:r>
    </w:p>
    <w:p>
      <w:pPr>
        <w:pStyle w:val="Normal"/>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Wymagana grubość dodatkowej warstwy izolacji termicznej: 16 cm </w:t>
      </w:r>
    </w:p>
    <w:p>
      <w:pPr>
        <w:pStyle w:val="Normal"/>
        <w:spacing w:lineRule="auto" w:line="276" w:before="0" w:after="0"/>
        <w:ind w:left="426" w:hanging="284"/>
        <w:rPr>
          <w:rFonts w:ascii="Times New Roman" w:hAnsi="Times New Roman" w:cs="Times New Roman"/>
          <w:sz w:val="24"/>
        </w:rPr>
      </w:pPr>
      <w:r>
        <w:rPr>
          <w:rFonts w:cs="Times New Roman" w:ascii="Times New Roman" w:hAnsi="Times New Roman"/>
          <w:sz w:val="24"/>
        </w:rPr>
        <w:t>Zastosowany materiał izolacji termicznej:    płyta termoizolacyjna PUR/PIR ALU gr. 160mm</w:t>
      </w:r>
    </w:p>
    <w:p>
      <w:pPr>
        <w:pStyle w:val="Normal"/>
        <w:numPr>
          <w:ilvl w:val="0"/>
          <w:numId w:val="1"/>
        </w:numPr>
        <w:spacing w:lineRule="auto" w:line="276" w:before="0" w:after="0"/>
        <w:ind w:left="426" w:hanging="284"/>
        <w:rPr>
          <w:rFonts w:ascii="Times New Roman" w:hAnsi="Times New Roman" w:cs="Times New Roman"/>
          <w:sz w:val="24"/>
        </w:rPr>
      </w:pPr>
      <w:r>
        <w:rPr>
          <w:rFonts w:cs="Times New Roman" w:ascii="Times New Roman" w:hAnsi="Times New Roman"/>
          <w:sz w:val="24"/>
        </w:rPr>
        <w:t>Modernizacja przegrody Ściana zewnętrzna</w:t>
      </w:r>
    </w:p>
    <w:p>
      <w:pPr>
        <w:pStyle w:val="Normal"/>
        <w:spacing w:lineRule="auto" w:line="276" w:before="0" w:after="0"/>
        <w:ind w:left="426" w:hanging="284"/>
        <w:rPr>
          <w:rFonts w:ascii="Times New Roman" w:hAnsi="Times New Roman" w:cs="Times New Roman"/>
          <w:sz w:val="24"/>
        </w:rPr>
      </w:pPr>
      <w:r>
        <w:rPr>
          <w:rFonts w:cs="Times New Roman" w:ascii="Times New Roman" w:hAnsi="Times New Roman"/>
          <w:sz w:val="24"/>
        </w:rPr>
        <w:t xml:space="preserve">Wymagana grubość dodatkowej warstwy izolacji termicznej: 10 cm </w:t>
      </w:r>
    </w:p>
    <w:p>
      <w:pPr>
        <w:pStyle w:val="Normal"/>
        <w:spacing w:lineRule="auto" w:line="276" w:before="0" w:after="0"/>
        <w:ind w:left="426" w:hanging="284"/>
        <w:jc w:val="both"/>
        <w:rPr>
          <w:rFonts w:ascii="Times New Roman" w:hAnsi="Times New Roman" w:cs="Times New Roman"/>
          <w:sz w:val="24"/>
        </w:rPr>
      </w:pPr>
      <w:r>
        <w:rPr>
          <w:rFonts w:cs="Times New Roman" w:ascii="Times New Roman" w:hAnsi="Times New Roman"/>
          <w:sz w:val="24"/>
        </w:rPr>
        <w:t>Zastosowany materiał izolacji termicznej:    EPS</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19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Prosimy o potwierdzenie, że zakresem wyceny jest jedynie modernizacja części istniejącej obiektu hali sportowej, a elementy wszystkich branż mają obejmować jedynie obszar i zakres sprecyzowany za pomocą czerwonej przerywanej linii na rysunku (w "części objętej opracowaniem") np. Zał_2a_do_PF-U (3).pdf - rys A-PW-01 – wzdłuż południowej ściany obiektu.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Tak, potwierdza się opisany wyżej zakres wyceny tj. modernizacja części istniejącej obiektu hali sportowej. Dodatkowo (jak wspomniano w ramach odpowiedzi do pytania nr 2) zakres robót będzie obejmować elementy w ramach zagospodarowania zewnętrznego, które są niezbędne do uzyskania pozwolenia na użytkowanie obiektu (jak instalacja zewnętrzna hydrantowa, droga pożarowa, schody zewnętrzne - ewakuacyjne).</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Prosimy o potwierdzenie, iż przebudowa przyłącza elektroenergetycznego nN (występująca na przesłanym rysunku zagospodarowania przestrzeni wokół obiektu) będzie realizowana według odrębnego postępowania.</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shd w:fill="FFFFFF" w:val="clear"/>
        </w:rPr>
        <w:t>Potwierdza się, że przebudowa przyłącza elektroenergetycznego nN będzie przedmiotem osobnego postępowania.</w:t>
      </w:r>
      <w:r>
        <w:rPr>
          <w:rFonts w:cs="Times New Roman" w:ascii="Times New Roman" w:hAnsi="Times New Roman"/>
          <w:sz w:val="24"/>
          <w:szCs w:val="24"/>
        </w:rPr>
        <w:b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Prosimy o jednoznaczne potwierdzenie iż zgodnie z zapisem w PFU; "W ramach przedsięwzięcia nie przewiduje się ingerencji w przestrzenie zlokalizowane na parterze budynku, które obecnie są użytkowane przez Miejski Ośrodek Sportu i Rekreacji w Proszowicach (...)", pomieszczenia 0.01-0.46 w poziomie parteru nie wchodzą w zakres opracowania i w związku z tym nie należy wyceniać żadnych prac wyburzeniowych, modernizacyjnych ani wykończeniowych.</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W ramach wyceny należy wziąć pod uwagę pełny zakres robót w ramach parteru obiektu. Zaktualizowano zapisy PF-U w tym zakresie.</w:t>
      </w:r>
      <w:r>
        <w:rPr>
          <w:rFonts w:cs="Times New Roman" w:ascii="Times New Roman" w:hAnsi="Times New Roman"/>
          <w:sz w:val="24"/>
          <w:szCs w:val="24"/>
        </w:rPr>
        <w:b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22</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sz w:val="24"/>
          <w:szCs w:val="24"/>
        </w:rPr>
        <w:t>Czy w związku z powyższym pytaniem należy wyceniać wymianę stolarki okiennej i drzwiowej dla pomieszczeń parteru i prace powiązane np. obróbka szpalet, wymiana parapetów wewnętrznych.</w:t>
        <w:br/>
      </w: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Tak, potwierdza się, że zakres robót na parterze obejmuje wyżej opisane roboty.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23</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Na rysunkach A-PW-01 widnieją oznaczenia drzwi i okien. Biorąc pod uwagę krótki czas przygotowania oferty zwracamy się z prośbą o udostępnienie zestawień - jeżeli takie istnieją – gdyż znacznie przyspieszy dostawcom proces wyceny.</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 ramach dokumentacji przetargowej nie udostępnia się ww. zestawień stolarki.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Wzór umowy. Wnioskodawca wnosi o dokonanie zapisu, że Zamawiający będzie oceniał dokumentację projektową w celu dokonania jej akceptacji pod kątem założeń ujętych w programie funkcjonalno-użytkowym stanowiącym załącznik do SIWZ.</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Wykonawca wnosi także, aby dokonać zapisu, że Wykonawca uwzględnił wszystkie koszty związane z realizacją przedmiotu umowy, a wynikające z zakresu rzeczowego, rozwiązań i zastosowanych materiałów i urządzeń ujętych w programie funkcjonalno-użytkowym.</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shd w:fill="FFFFFF" w:val="clear"/>
        </w:rPr>
        <w:t>Odpowiedź:</w:t>
      </w:r>
      <w:r>
        <w:rPr>
          <w:rFonts w:cs="Times New Roman" w:ascii="Times New Roman" w:hAnsi="Times New Roman"/>
          <w:sz w:val="24"/>
          <w:szCs w:val="24"/>
        </w:rPr>
        <w:br/>
        <w:t>Zamawiający nie zmienia zapisów wzoru umowy.</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br/>
      </w:r>
      <w:r>
        <w:rPr>
          <w:rFonts w:cs="Times New Roman" w:ascii="Times New Roman" w:hAnsi="Times New Roman"/>
          <w:color w:val="000000"/>
          <w:sz w:val="24"/>
          <w:szCs w:val="24"/>
        </w:rPr>
        <w:t>Pytanie: 25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Wzór umowy. Czy zamawiający przewiduje możliwość zmiany wynagrodzenia w przypadku zmian cen mediów, w szczególności prądu. Zgodnie z obowiązującymi prognozami ich cena może znacznie wzrosnąć.</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shd w:fill="FFFFFF" w:val="clear"/>
        </w:rPr>
        <w:t>Odpowiedź:</w:t>
      </w:r>
      <w:r>
        <w:rPr>
          <w:rFonts w:cs="Times New Roman" w:ascii="Times New Roman" w:hAnsi="Times New Roman"/>
          <w:sz w:val="24"/>
          <w:szCs w:val="24"/>
        </w:rPr>
        <w:br/>
        <w:t>Zmiany wynagrodzenia przewidziane są w § 5 wzoru umowy.</w:t>
        <w:b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13,14 Wzór umowy.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Prosimy o dokonanie wpisu w jaki sposób będą ustalane terminy usuwania wad. Prosimy o dokonanie zapisu, że terminy będą ustalane obustronnie na podstawie indywidualnych okoliczności  dotyczącej wady oraz sposobu jej uśnięcia w tym przy uwzględnieniu możliwości technologicznych. Powyższa kwestia jest ważna do ustalenia, gdyż niejednokrotnie dokonanie usunięcia wad nie jest zależne od samej woli Wykonawcy lecz od oczekiwania na dostawę materiałów, a także innych okoliczności proceduralnych i technologicznych wpływających na termin usunięcia wad.</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shd w:fill="FFFFFF" w:val="clear"/>
        </w:rPr>
        <w:t>Odpowiedź:</w:t>
      </w:r>
      <w:r>
        <w:rPr>
          <w:rFonts w:cs="Times New Roman" w:ascii="Times New Roman" w:hAnsi="Times New Roman"/>
          <w:sz w:val="24"/>
          <w:szCs w:val="24"/>
        </w:rPr>
        <w:br/>
        <w:t>Terminy usuwania wad są wskazane są w § 13 ust. 3 oraz w § 14 ust. 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7 ust. 7 Wzór umowy.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Wykonawca wnosi o uregulowanie w umowie kwestii odbioru w przypadku wad nieistotnych. Prosimy o dokonanie zapisu, że w przypadku gdy wady będą nieistotne Zamawiający nie może odmówić odbioru prac, lecz w protokole odbioru wyznaczyć termin ich usunięcia. Wykonawca wnosi także o usuniecie zapisu o rozliczeniu prac na podstawie bezusterkowego protokołu odbioru. Powyższe jest niezgodne z obowiązującymi przepisami.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 zakresie wskazanych postanowień projektu umowy podnosi się, że zgodnie z orzecznictwem sądów powszechnych strony umowy o roboty budowlane nie mogą uzależniać wypłaty wynagrodzenia należnego wykonawcy od braku jakichkolwiek usterek. (tak: wyrok Sądu Najwyższego z 22 czerwca 2007 r.; sygn. akt V CSK 99/07). W związku z czym w przypadku stwierdzenia w trakcie czynności odbiorowych wad nadających się do usunięcia Zamawiający winien odebrać roboty i wyznaczyć termin usunięcia wad.</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Wady nieistotne oznaczają, iż zobowiązanie zostało wykonane, jedynie w sposób nienależyty co do jakości i inwestor może w takim przypadku domagać się ich usunięcia w oznaczonym terminie bądź obniżenia wynagrodzenia (tak Sąd Apelacyjny w Katowicach w wyroku z dnia 30.03.2006 r. w sprawie I ACa 1900/05). W przypadku wykonania umówionego zakresu robót i zgłoszenia ich do odbioru, po stronie Zamawiającego zawsze powstanie obowiązek zapłaty wynagrodzenia za wykonane roboty nawet jeśli w treści protokołu zostały zgłoszone nieistotne wady lub usterki. W takim przypadku Zamawiający powinien dokonać odbioru zgłoszonych robót, a w treści protokołu powinny zostać poczynione ustalenia co do zakresu wykonanych robót, ich jakości i ewentualnych stwierdzonych usterek oraz ich charakter wraz z terminem ich usunięcia (tak Sąd Najwyższy w wyroku z dnia 05.03.1997 r. w sprawie II CKN 28/97). Protokół odbioru jest jedynie pokwitowaniem spełnienia świadczenia w określonym terminie (dzień zgłoszenia robót do odbioru) i podstawą dokonania rozliczeń pomiędzy stronami, zaś wykryte wady podlegają usunięciu stosownie do treści art. 637 i 638 Kodeksu cywilnego. W wyroku z dnia 22.06.2007 r., sygn. akt V CSK 99/07 Sąd Najwyższy wskazał, że Inwestor ma obowiązek odbioru obiektu budowlanego wykonanego zgodnie z projektem i zasadami wiedzy technicznej. Strony umowy o roboty budowlane nie mogą uzależnić wypłaty wynagrodzenia należnego wykonawcy od braku jakichkolwiek usterek”. W przypadku postanowienia uzależniającego odbiór robót, a co za tym idzie zapłatę wynagrodzenia od bezusterkowego odbioru, każde odstępstwo od stanu idealnego (co do którego nie wiadomo, na podstawie jakich kryteriów byłby ustalany) dawałaby prawo inwestorowi odmowy odbioru obiektu. W ocenie Sądu Najwyższego takie postanowienie byłyby sprzeczne z naturą zobowiązania (art. 353 [1] K.c) i wskutek tego nieważne. Przedmiot umowy wykonany zgodnie z wymaganiami projektu i zasadami wiedzy technicznej, jeżeli projekt nie miał istotnych wad, nadaje się do użytkowania, natomiast ogólnikowe wykluczenie istnienia jakiejkolwiek wady w chwili oddania przedmiotu umowy do użytku naruszałoby równowagę między inwestorem a wykonawcą, pozostawiając tego ostatniego w niepewności odnośnie do wynagrodzenia. </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sz w:val="24"/>
          <w:szCs w:val="24"/>
        </w:rPr>
        <w:t xml:space="preserve">Postanowienia dotyczące odbiorów robót znajdują się w § 7 wzoru umowy w tym także te, które dotyczą wystąpienia wad i usterek. </w:t>
        <w:b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Wzór umowy Prosimy o wprowadzenie zapisu, że odbiory częściowe będą dokumentować stan zaawansowania robót i faktury częściowe będą wystawiane w oparciu o procentowe zaawansowanie robót raz na miesiąc. Wskazać bowiem należy, iż niektóre roboty będą wykonywane etapami, które będą mogły być rozliczone dopiero w końcowej fazie inwestycji. W związku z czym wykonawca będzie ponosił koszty za część wykonanych robót, a ich rozliczenie nastąpi dopiero na końcowym etapie. W ocenie wykonawcy powyższy system rozliczenia wykonanych prac częściowych przyczyniłby się do sprawniejszego rozliczenia, na bieżąco wykonywanych prac.</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sz w:val="24"/>
          <w:szCs w:val="24"/>
        </w:rPr>
        <w:t>Zamawiający nie wyraża zgody na wprowadzenie powyższych postanowień.</w:t>
        <w:b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29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8 Wzór umowy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Wykonawca wnosi 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zmniejszenie kar umownych, a także ich ograniczenie do podstawowych przewinień,</w:t>
        <w:br/>
        <w:t xml:space="preserve">• wprowadzenia zakazu kumulacji kar umownych, a także zakazu łączenia kary umownej za odstąpienie od umowy z innymi karami,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zmianę wszelkich zastrzeżonych kar umownych „za każdy dzień opóźnienia” na kary umowne „za każdy dzień zwłoki”,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wprowadzenie kar umownych dla Wykonawcy.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Wprowadzone obecnie kary są niewspółmierne do wartości umowy. Kara umowna ma pełnić funkcję dyscyplinującą, a nie powodować, że Zamawiający wzbogaci się na jej istnieniu, co uzasadnia wniosek o ograniczenie kar umownych. W celu rekompensaty powstałej szkody umowa przewiduje zapis, ze Zamawiający może dochodzić jej ponad istniejące kary umowne, w związku z tym nie istnieje zagrożenie straty w tym zakresie dla Zamawiającego.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Prosimy o wprowadzenie zapisów, że Zamawiający zapłaci Wykonawcy kary umowne: za zwłokę w przekazaniu terenu budowy, za zwłokę w przekazaniu Kierownikowi budowy Dziennika budowy, za nieprzystąpienie przez Zamawiającego do odbioru robót budowlanych zgłoszonych przez Wykonawcę w terminach określonych umową oraz za odstąpienie od umowy z przyczyn leżących po stronie Zamawiającego.</w:t>
        <w:br/>
        <w:br/>
        <w:t>Ponadto odnoście zmiany wszelkich zastrzeżonych kar umownych „za każdy dzień opóźnienia” na kary umowne „za każdy dzień zwłoki” wskazać należy, iż jedynie zwłoka jako rodzaj zawinionego niewłaściwego wykonania zobowiązania, powinna rodzić odpowiedzialność kontraktową wykonawcy. Opóźnienie i zwłoka oraz związane z nimi skutki dla stron umowy regulują przepisy kodeksu cywilnego. Określeń tych nie należy używać zamiennie. Uprawnienia strony dotkniętej zwłoką bądź tylko opóźnieniem znacznie się różnią. W obu przypadkach mamy do czynienia z nieterminowością wykonania przyjętych zobowiązań wynikających np. z umowy. Jednak zwłoki, dopuszcza się tylko ten  dłużnik, który nie wykonał umowy w terminie z przyczyn, za które ponosi odpowiedzialność, czyli od niego zależnych, w przeciwieństwie do tzw. opóźnienia zwykłego, które następuje już wówczas, gdy termin nie zostanie dotrzymany z przyczyn niezależnych od opóźniającego się. Zarówno zwłoka, jak i opóźnienie oznacza niewykonanie zobowiązania w terminie wnikającym z czynności prawnej najczęściej ustalonym w umowie). Jednak pojęcie opóźnienia jest szersze od pojęcia zwłoki. Opóźnienie to każdy przypadek niewykonania zobowiązania w terminie, a zwłoka to szczególny przypadek opóźnienia jako działania lub zaniechania zawinionego. Działanie zawinione to działanie, za które strona ponosi odpowiedzialność.</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Zamawiający nie wyraża zgody na zmianę postanowień.</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30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ust. 4 wzór umowy.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Prosimy o zmianę zapisu. Kary umowne stają się wymagalne w momencie upływu terminu zapłaty, który jest zazwyczaj wyznaczony w wezwaniu do zapłaty wraz z notą księgową. Jest to bowiem zobowiązanie bezterminowe. Prosimy także o wykreślenie zapisu, że Wykonawca wyraża zgodę na umowne dokonanie potrącenia kary umownej z wynagrodzeniem Wykonawcy. Powyższe jest całkowicie jednostronnym aktem Zamawiającego. Wykonawca powinien mieć ewentualną możliwość wypowiedzenia się w tym względzie po wezwaniu do zapłaty kary umownej. Ponadto tylko wymagalne kary umowne podlegają potrąceniu.</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shd w:fill="FFFFFF" w:val="clear"/>
        </w:rPr>
        <w:t>Odpowiedź:</w:t>
      </w:r>
      <w:r>
        <w:rPr>
          <w:rFonts w:cs="Times New Roman" w:ascii="Times New Roman" w:hAnsi="Times New Roman"/>
          <w:sz w:val="24"/>
          <w:szCs w:val="24"/>
        </w:rPr>
        <w:br/>
        <w:t>Zamawiający nie wyraża zgody na zmianę postanowień.</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31</w:t>
      </w:r>
      <w:r>
        <w:rPr>
          <w:rFonts w:cs="Times New Roman" w:ascii="Times New Roman" w:hAnsi="Times New Roman"/>
          <w:sz w:val="24"/>
          <w:szCs w:val="24"/>
        </w:rPr>
        <w:br/>
        <w:t>Wzór umowy</w:t>
        <w:br/>
        <w:t>Wykonawca wnosi o wyjaśnienie kto będzie ponosił koszty wymiany materiałów eksploatacyjnych w trakcie dokonywanych serwisów i konserwacji?</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Jak w odpowiedzi na pytanie 10.</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32</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§13 ust 2 Wzór umowy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Wykonawca prosi o wyjaśnienie co w przypadku gdy ocena przyczyn powstania wady będzie rozbieżna pomiędzy stronami?</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Będzie miał zastosowanie § 16 ust. 1 i 2 wzoru umowy.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Pytanie: 33</w:t>
      </w:r>
      <w:r>
        <w:rPr>
          <w:rFonts w:cs="Times New Roman" w:ascii="Times New Roman" w:hAnsi="Times New Roman"/>
          <w:sz w:val="24"/>
          <w:szCs w:val="24"/>
        </w:rPr>
        <w:br/>
        <w:t>§ 14 ust 9.Wzór umowy</w:t>
        <w:br/>
        <w:t>Odnośnie zapisu, że Wykonawca oświadcza, że jest jedynym zobowiązanym z tytułu gwarancji jakości, w tym również za prace wykonane przez podwykonawców prosimy o wyjaśnienie czy powyższe odnosi się również do gwarancji producentów urządzeń?</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shd w:fill="FFFFFF" w:val="clear"/>
        </w:rPr>
        <w:t>Odpowiedź:</w:t>
      </w:r>
      <w:r>
        <w:rPr>
          <w:rFonts w:cs="Times New Roman" w:ascii="Times New Roman" w:hAnsi="Times New Roman"/>
          <w:sz w:val="24"/>
          <w:szCs w:val="24"/>
        </w:rPr>
        <w:br/>
        <w:t>Tak</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34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Wzór umowy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Wykonawca wnosi o dodanie zapisu, że Wykonawca będzie uprawniony do odstąpienia od umowy w terminie 28 dni od dnia pozyskania wiedzy o powstaniu okoliczności uzasadniającej odstąpienie, w przypadku gdy: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1)zwłoka Zamawiającego w przekazaniu Dziennika budowy lub Terenu budowy</w:t>
        <w:br/>
        <w:t>przekracza 5 dni roboczych;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2)zwłoka Zamawiającego w podpisaniu Protokołu odbioru częściowego/końcowego robót budowlanych przekracza 5 dni roboczych;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3)Wykonawca nie otrzyma kwoty należnej według Protokołu odbioru częściowego/końcowego robót budowlanych w terminie 10 dni kalendarzowych od upływu terminu płatności wskazanym na fakturze.</w:t>
        <w:br/>
        <w:t>4)na skutek polecenia Zamawiającego przerwa lub opóźnienie w wykonywaniu robót budowlanych trwa dłużej niż 5 dni kalendarzowych.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Powyższe konieczne jest dla utrzymania stabilizacji warunków dla Wykonawcy. Wykonawca nie może pozwolić sobie na sytuację niepewności w zakresie istnienia stosunków zobowiązaniowych pomiędzy stronami w przypadku powyższych sytuacji, gdyż to grozi ewentualnymi konsekwencjami finansowymi w stosunku do dostawców i podwykonawców.</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shd w:fill="FFFFFF" w:val="clear"/>
        </w:rPr>
        <w:t>Odpowiedź:</w:t>
      </w:r>
      <w:r>
        <w:rPr>
          <w:rFonts w:cs="Times New Roman" w:ascii="Times New Roman" w:hAnsi="Times New Roman"/>
          <w:sz w:val="24"/>
          <w:szCs w:val="24"/>
        </w:rPr>
        <w:br/>
        <w:t>Zamawiający nie wyraża zgody na zmianę postanowień.</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35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Wykonawca prosi o wyjaśnienie kiedy jest faktyczny termin zakończenia zadania?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Odpowiedź: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Jak w części IV SIWZ.</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Pytanie: 36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Prosimy o potwierdzenie iż w instalacji niskoprądowej należy zaprojektować i wykonać:</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Instalacje p/poż z łącznością z strażą pożarną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Instalacje Kontroli dostępu.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 Instalacje nagłośnienia hali sportowej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 Instalacja CCTV wewn. I zewn.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e. Sieć strukturalna w kat.?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 Instalacja SWiN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g. Instalacja odbioru TV naziemnej i satelitarnej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h. Instalacja Oddymiania 3 klatek</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shd w:fill="FFFFFF" w:val="clear"/>
        </w:rPr>
        <w:t>Odpowiedź:</w:t>
      </w:r>
      <w:r>
        <w:rPr>
          <w:rFonts w:cs="Times New Roman" w:ascii="Times New Roman" w:hAnsi="Times New Roman"/>
          <w:sz w:val="24"/>
          <w:szCs w:val="24"/>
        </w:rPr>
        <w:br/>
        <w:t>a. Instalacje p/poż z łącznością z strażą pożarną - nie przewiduje się wykonania,</w:t>
        <w:br/>
        <w:t>b. Instalacje Kontroli dostępu – nie przewiduje się wykonania,</w:t>
        <w:br/>
        <w:t>c. Instalacje nagłośnienia hali sportowej – tak, należy przewidzieć nagłośnienie dla pomieszczenia hali sportowej,</w:t>
        <w:br/>
        <w:t>d. Instalacja CCTV wewn. i zewn. – tak, należy przewidzieć,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e. Sieć strukturalna w kat.? – nie przewiduje się sieci strukturalnej w całym budynku. </w:t>
      </w:r>
      <w:r>
        <w:rPr>
          <w:rFonts w:cs="Times New Roman" w:ascii="Times New Roman" w:hAnsi="Times New Roman"/>
          <w:sz w:val="24"/>
          <w:szCs w:val="24"/>
          <w:shd w:fill="FFFFFF" w:val="clear"/>
        </w:rPr>
        <w:t>Należy przewidzieć jedynie kilka punktów dostępowych Wi-Fi na poszczególnych piętrach obiektu.</w:t>
      </w:r>
      <w:r>
        <w:rPr>
          <w:rFonts w:cs="Times New Roman" w:ascii="Times New Roman" w:hAnsi="Times New Roman"/>
          <w:sz w:val="24"/>
          <w:szCs w:val="24"/>
        </w:rPr>
        <w:t xml:space="preserve"> </w:t>
        <w:br/>
        <w:t>f. Instalacja SWiN – nie przewiduje się wykonania instalacji Sygnalizacji Włamania i Napadu,</w:t>
        <w:br/>
        <w:t>g. Instalacja odbioru TV naziemnej i satelitarnej – nie przewiduje się wykonania,</w:t>
        <w:br/>
        <w:t>h. Instalacja Oddymiania 3 klatek – tak, należy przewidzieć instalacje oddymiania klatek</w:t>
      </w:r>
      <w:r>
        <w:rPr>
          <w:rFonts w:cs="Tahoma" w:ascii="Tahoma" w:hAnsi="Tahoma"/>
          <w:color w:val="2F5496" w:themeColor="accent5" w:themeShade="bf"/>
          <w:sz w:val="18"/>
          <w:szCs w:val="18"/>
        </w:rPr>
        <w:b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37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Prosimy o odpowiedzi na poniższe wątpliwości;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 Czy zasilanie z ZE to dwa zasilania (1 Zasilanie z Ze +agregat) + Instalacja fotowoltaiczna, czy zasilanie + Instalacja fotowoltaiczna?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 Na trasie inwestycji jest szafa sterowania przepompownią. Czy należy ją przenieść?</w:t>
        <w:br/>
        <w:t>c. Istniejące rozdzielnie należy wymienić czy przebudować do potrzeb nowych instalacji?</w:t>
        <w:br/>
        <w:t>d. Zasilania i uziemienia central wentylacyjnych mają znajdować się na dachu czy wewnątrz obiektu?</w:t>
        <w:br/>
        <w:t>e. Czy wycena ma uwzględniać ogrzewanie spustów dachowych?</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 Instalacja odgromowa- zastosować otok czy uziom fundamentowy?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g. Gdzie mają znajdować się złącza kontrolne? Na elewacji czy w opasce budynku.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h. Czy wycena ma obejmować oświetlenie zewn. na elewacji budynku i słupowe?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 Czy wycena ma obejmować oświetlenie awaryjne, ewakuacyjne i podstawowe Ledowe.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 Czy wyposażenie i miejsca podłączenia należy uzgodnić z Zamawiającym czy z Użytkownikiem?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k. Czy instalacje w hali sportowej w zakresie oświetlenia awaryjnego i podstawowego należy wycenić jako podtynkowe czy nadtynkowe?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l. Czy należy przyjąć do zaprojektowania i wykonania sygnalizację przyzywową w WC dla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niepełnosprawnych?</w:t>
        <w:br/>
        <w:t>Ł. Jak rozwiązać dojścia dla niepełnosprawnych ? Windy czy wyciąg schodowy?</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 To zasilanie  + instalacja fotowoltaiczna jednak w projekcie należy przewidzieć jedynie późniejsze przyłączenie instalacji do 40 kW,</w:t>
      </w:r>
    </w:p>
    <w:p>
      <w:pPr>
        <w:pStyle w:val="Normal"/>
        <w:spacing w:lineRule="auto" w:line="240" w:before="0" w:after="0"/>
        <w:rPr>
          <w:rFonts w:ascii="Times New Roman" w:hAnsi="Times New Roman" w:cs="Times New Roman"/>
          <w:color w:val="FF0000"/>
          <w:sz w:val="24"/>
          <w:szCs w:val="24"/>
        </w:rPr>
      </w:pPr>
      <w:r>
        <w:rPr>
          <w:rFonts w:cs="Times New Roman" w:ascii="Times New Roman" w:hAnsi="Times New Roman"/>
          <w:sz w:val="24"/>
          <w:szCs w:val="24"/>
        </w:rPr>
        <w:t>b. Tak, należy ją przenieść i należy zintegrować jej zasilanie z budynkiem hali sportowej,</w:t>
        <w:br/>
        <w:t>c. W miarę możliwości technicznych nadające się do przebudowy zaadoptować , a pozostałe wymienić lub zamontować nowe w nowych miejscach</w:t>
      </w:r>
      <w:r>
        <w:rPr>
          <w:shd w:fill="FFFFFF" w:val="clear"/>
        </w:rPr>
        <w:t>.</w:t>
      </w:r>
      <w:r>
        <w:rPr>
          <w:rFonts w:cs="Times New Roman" w:ascii="Times New Roman" w:hAnsi="Times New Roman"/>
          <w:sz w:val="24"/>
          <w:szCs w:val="24"/>
        </w:rPr>
        <w:br/>
        <w:t>d. Rozdzielnie szaf sterowniczych oraz  zasilających powinny znajdować się wewnątrz budynku wraz z ich sterowaniem,</w:t>
      </w:r>
      <w:r>
        <w:rPr>
          <w:rFonts w:cs="Times New Roman" w:ascii="Times New Roman" w:hAnsi="Times New Roman"/>
          <w:color w:val="FF0000"/>
          <w:sz w:val="24"/>
          <w:szCs w:val="24"/>
        </w:rPr>
        <w:br/>
      </w:r>
      <w:r>
        <w:rPr>
          <w:rFonts w:cs="Times New Roman" w:ascii="Times New Roman" w:hAnsi="Times New Roman"/>
          <w:sz w:val="24"/>
          <w:szCs w:val="24"/>
        </w:rPr>
        <w:t>e. Tak</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 Należy zastosować uziom fundamentowy?</w:t>
      </w:r>
    </w:p>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g. W opasce budynku.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h. Tak</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 Tak, wszystkie.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j. Wyposażenie i miejsca podłączenia należy uzgadniać z Użytkownikiem.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 Należy wycenić jako podtynkowe.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l. Nie</w:t>
        <w:br/>
        <w:t>Ł. Dla jednego z wejść do  obiektu  od  strony  wschodniej  przewidzieć  pochylnię  dostosowaną  do  potrzeb  osób niepełnosprawnych. Dostęp do każdej kondygnacji budynku powinien być projektowaną windą oraz platformami przyschodowymi.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38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Czy w zakresie prac należy przewidzieć nowe rozdzielnie do zasilania urządzeń i punktów wchodzących w zakres przebudowy i rozbudowy?</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Tak, należy przewidzieć nowe rozdzielnie.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39</w:t>
      </w:r>
      <w:r>
        <w:rPr>
          <w:rFonts w:cs="Times New Roman" w:ascii="Times New Roman" w:hAnsi="Times New Roman"/>
          <w:sz w:val="24"/>
          <w:szCs w:val="24"/>
        </w:rPr>
        <w:br/>
        <w:t>Czy w zakresie prac należy uwzględnić nowe złącze kablowe układu zasilania i nowy układ pomiarowy?</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Nie należy uwzględniać nowego złącza.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40</w:t>
      </w:r>
      <w:r>
        <w:rPr>
          <w:rFonts w:cs="Times New Roman" w:ascii="Times New Roman" w:hAnsi="Times New Roman"/>
          <w:sz w:val="24"/>
          <w:szCs w:val="24"/>
        </w:rPr>
        <w:br/>
        <w:t>Czy w zakresie prac należy uwzględnić nową instalację odgromową?</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Tak, należy uwzględnić nową instalację odgromową.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41</w:t>
      </w:r>
      <w:r>
        <w:rPr>
          <w:rFonts w:cs="Times New Roman" w:ascii="Times New Roman" w:hAnsi="Times New Roman"/>
          <w:sz w:val="24"/>
          <w:szCs w:val="24"/>
        </w:rPr>
        <w:br/>
        <w:t>Czy rozbudowa ma uwzględniać instalacje oddymiania klatek schodowych?</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Tak, powinny zostać uwzględnione instalacje oddymiania klatek schodowych.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42</w:t>
      </w:r>
      <w:r>
        <w:rPr>
          <w:rFonts w:cs="Times New Roman" w:ascii="Times New Roman" w:hAnsi="Times New Roman"/>
          <w:sz w:val="24"/>
          <w:szCs w:val="24"/>
        </w:rPr>
        <w:br/>
        <w:t>Czy Zamawiający w ramach zadania inwestycyjnego planuje wykonanie instalacji fotowoltaicznej i ewentualnie jakiej mocy?</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Nie planuje się wykonania instalacji fotowoltaicznej.</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Pytanie: 43</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sz w:val="24"/>
          <w:szCs w:val="24"/>
        </w:rPr>
        <w:t>Czy w zakresie instalacji teletechnicznych należy przewidzieć system okablowania strukturalnego? Jeżeli system okablowania strukturalnego ma być realizowany prosimy o podanie wymagań odnośnie kategorii okablowania. Jaki obszar ma obejmować sieć okablowania strukturalnego? Czy szafy dystrybucyjne mają być wyposażone w urządzenia aktywne – przełączniki sieciowe? Czy przewidywany jest montaż punktów dystrybucyjnych sieci Wi-Fi – jeżeli tak , to w jakich obszarach?</w:t>
        <w:br/>
      </w: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Nie planuje się systemu okablowania strukturalnego. Należy przewidzieć tylko kilka punktów dostępowych Wi-Fi na poszczególnych piętrach obiektu.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44</w:t>
      </w:r>
      <w:r>
        <w:rPr>
          <w:rFonts w:cs="Times New Roman" w:ascii="Times New Roman" w:hAnsi="Times New Roman"/>
          <w:sz w:val="24"/>
          <w:szCs w:val="24"/>
        </w:rPr>
        <w:br/>
        <w:t>Czy w wycenie należy uwzględnić system nadzoru wizyjnego CCTV.</w:t>
        <w:br/>
        <w:t>Jeżeli tak, to jakie obszary mają być objęte tym systemem?</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Tak, należy przewidzieć system nadzoru wizyjnego w miarę możliwości w całym obiekcie.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Pytanie: 45</w:t>
      </w:r>
      <w:r>
        <w:rPr>
          <w:rFonts w:cs="Times New Roman" w:ascii="Times New Roman" w:hAnsi="Times New Roman"/>
          <w:sz w:val="24"/>
          <w:szCs w:val="24"/>
        </w:rPr>
        <w:br/>
        <w:t>Czy w wycenie należy uwzględnić system sygnalizacji włamania. Jeżeli tak, to jakie obszary mają być objęte tym systemem?</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Nie należy uwzględniać systemu sygnalizacji i włamania.</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46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Czy należy wycenić system odbioru telewizji naziemnej. Jeżeli tak, to jakie pomieszczenia ma obejmować?</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Nie przewiduje się wykonywania systemu odbioru telewizji naziemnej.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Pytanie: 47</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Czy należy wycenić system kontroli dostępu – np. kart zbliżeniowych. Jeżeli tak, to jakie pomieszczenia i obszary ma obejmować? </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Nie przewiduje się wykonywania systemu kontroli dostępu.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Pytanie: 48</w:t>
      </w:r>
      <w:r>
        <w:rPr>
          <w:rFonts w:cs="Times New Roman" w:ascii="Times New Roman" w:hAnsi="Times New Roman"/>
          <w:sz w:val="24"/>
          <w:szCs w:val="24"/>
        </w:rPr>
        <w:br/>
        <w:t xml:space="preserve">Czy należy wycenić system nagłośnienia. Jeżeli tak, to jakie pomieszczenia i obszary ma obejmować? </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Należy przewidzieć system nagłośnienia jedynie w pomieszczeniu hali sportowej.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Pytanie: 49</w:t>
      </w:r>
      <w:r>
        <w:rPr>
          <w:rFonts w:cs="Times New Roman" w:ascii="Times New Roman" w:hAnsi="Times New Roman"/>
          <w:sz w:val="24"/>
          <w:szCs w:val="24"/>
        </w:rPr>
        <w:br/>
        <w:t>Czy należy wycenić system sygnalizacji pożaru. Jeżeli tak, to jakie obszary ma obejmować?</w:t>
        <w:br/>
      </w: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FF0000"/>
          <w:sz w:val="24"/>
          <w:szCs w:val="24"/>
        </w:rPr>
      </w:pPr>
      <w:r>
        <w:rPr>
          <w:rFonts w:cs="Times New Roman" w:ascii="Times New Roman" w:hAnsi="Times New Roman"/>
          <w:sz w:val="24"/>
          <w:szCs w:val="24"/>
        </w:rPr>
        <w:t>Nie przewiduje się wyceny systemu sygnalizacji pożaru.</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Pytanie: 50</w:t>
      </w:r>
      <w:r>
        <w:rPr>
          <w:rFonts w:cs="Times New Roman" w:ascii="Times New Roman" w:hAnsi="Times New Roman"/>
          <w:sz w:val="24"/>
          <w:szCs w:val="24"/>
        </w:rPr>
        <w:br/>
        <w:t>W programie funkcjonalno-użytkowym w zakresie termomodernizacji obiektu wyspecyfikowano system zarządzania energią w budynku (BMS). Prosimy o sprecyzowanie w jakim zakresie ma być zastosowany system zarządzania energią (BMS) i jakie powinien posiadać parametry funkcjonalne – jakie instalacje i w jakim zakresie mają być zarządzane przez ten system.</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Odpowiedź:</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Zaktualizowano w PF-U zapisy w zakresie termomodernizacji obiektu. Zamawiający informuje, że nie przewiduje się systemu BMS w budynku.</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Pytanie: 51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W związku z rozbieżnościami opisowymi dotyczącymi podłogi sportowej prosimy o sprecyzowanie wymagań parametrowych jak i konstrukcyjnych oraz o określenie jakie dokumenty musi posiadać cały system podłogi sportowej.</w:t>
      </w:r>
    </w:p>
    <w:p>
      <w:pPr>
        <w:pStyle w:val="Normal"/>
        <w:spacing w:before="0" w:after="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Odpowiedź:</w:t>
      </w:r>
    </w:p>
    <w:p>
      <w:pPr>
        <w:pStyle w:val="Normal"/>
        <w:spacing w:before="0" w:after="0"/>
        <w:rPr>
          <w:rFonts w:ascii="Times New Roman" w:hAnsi="Times New Roman" w:cs="Times New Roman"/>
          <w:color w:val="FF0000"/>
          <w:sz w:val="24"/>
          <w:szCs w:val="24"/>
        </w:rPr>
      </w:pPr>
      <w:r>
        <w:rPr>
          <w:rFonts w:cs="Times New Roman" w:ascii="Times New Roman" w:hAnsi="Times New Roman"/>
          <w:sz w:val="24"/>
          <w:szCs w:val="24"/>
        </w:rPr>
        <w:t>Konstrukcja: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System podłogi powinien składać się z następujących warstw: </w:t>
      </w:r>
    </w:p>
    <w:p>
      <w:pPr>
        <w:pStyle w:val="ListParagraph"/>
        <w:numPr>
          <w:ilvl w:val="0"/>
          <w:numId w:val="3"/>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konstrukcja legarowana ze sklejki z fabrycznie wykonaną i zamontowaną podkładką sprężystą zapewniającą amortyzację systemu </w:t>
      </w:r>
    </w:p>
    <w:p>
      <w:pPr>
        <w:pStyle w:val="ListParagraph"/>
        <w:numPr>
          <w:ilvl w:val="0"/>
          <w:numId w:val="3"/>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ślepa podłoga ze sklejki </w:t>
      </w:r>
    </w:p>
    <w:p>
      <w:pPr>
        <w:pStyle w:val="ListParagraph"/>
        <w:numPr>
          <w:ilvl w:val="0"/>
          <w:numId w:val="3"/>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warstwa płyty rozkładająca obciążenia – ze sklejki </w:t>
      </w:r>
    </w:p>
    <w:p>
      <w:pPr>
        <w:pStyle w:val="ListParagraph"/>
        <w:numPr>
          <w:ilvl w:val="0"/>
          <w:numId w:val="3"/>
        </w:numPr>
        <w:spacing w:before="0" w:after="0"/>
        <w:contextualSpacing/>
        <w:rPr>
          <w:rFonts w:ascii="Times New Roman" w:hAnsi="Times New Roman" w:cs="Times New Roman"/>
          <w:sz w:val="24"/>
          <w:szCs w:val="24"/>
        </w:rPr>
      </w:pPr>
      <w:r>
        <w:rPr>
          <w:rFonts w:cs="Times New Roman" w:ascii="Times New Roman" w:hAnsi="Times New Roman"/>
          <w:sz w:val="24"/>
          <w:szCs w:val="24"/>
        </w:rPr>
        <w:t>wykładzina sportowa PVC o łącznej gr. 9 mm i kompleksie wierzchniej warstwy użytkowej z PVC o gr. min. 2,1 mm</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Typ podłogi sportowej: Kombi elastyczna - płaszczyznowo i punktowo elastyczna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Nawierzchnię (wykładzinę) podłogi sportowej powinna posiadać właściwości techniczne nie gorsze niż:</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grubość kompleksu warstwy użytkowej czystego PVC z wtopioną siatką z włókna szklanego - min. 2,1 mm,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grubość warstwy pianki PVC - min. 6,9 mm,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waga nawierzchni – min. 5,0 kg/m2,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reakcja na ogień – min. Cfl s1 (wg. EN 13 501-1),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klasa formaldehydów – E1</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zawartość pentachlorofenolu (PCP) – brak zawartości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odbicie piłki: ≥ 90% ( wg. EN 12 235)</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poślizg: 80-110 (wg. EN 13 036-4)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absorbcja wstrząsów – klasa P2 (wg. EN 14 808)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odporność na ścieranie ≤ 350 mg (wg. EN ISO 5470-1)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połysk – 23 GU / EN ISO 2813:2001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lang w:val="en-US"/>
        </w:rPr>
        <w:t xml:space="preserve">IPI (Impact Protection Index): ≥ 80% (wg. </w:t>
      </w:r>
      <w:r>
        <w:rPr>
          <w:rFonts w:cs="Times New Roman" w:ascii="Times New Roman" w:hAnsi="Times New Roman"/>
          <w:sz w:val="24"/>
          <w:szCs w:val="24"/>
        </w:rPr>
        <w:t xml:space="preserve">Normy AC-P90-205)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odkształcenie pionowe ≤ 3,5 (wg. Normy EN 14 809)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odporność na uderzenia ≥ 8 N/m (wg. Normy EN 15 17)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udarność ≤ 0,5 mm</w:t>
      </w:r>
    </w:p>
    <w:p>
      <w:pPr>
        <w:pStyle w:val="Normal"/>
        <w:spacing w:before="0" w:after="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Podłoga powinna spełniać wymogi certyfikacji międzynarodowych federacji sportowych:</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Międzynarodowej Federacji Piłki Siatkowej FIVB - najwyższy poziom rozgrywek level 1 OFFICIAL APPROVED,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Certyfikat Europejskiej Federacji Piłki Ręcznej EHF,</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Międzynarodowej Federacji Piłki Ręcznej IHF,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Międzynarodowej Federacji Koszykówki FIBA,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BWF (badminton),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IFF –Międzynarodowej Federacji Hokeja na Trawie (Unihokeja),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ITF – Międzynarodowej Federacji Tenisa Ziemnego,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ITTF i ETTU – Międzynarodowej i Europejskiej Federacji Tenisa Stołowego,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Certyfikat FISU – Federacji Sportów Szkolnych i Studenckich, </w:t>
      </w:r>
    </w:p>
    <w:p>
      <w:pPr>
        <w:pStyle w:val="ListParagraph"/>
        <w:numPr>
          <w:ilvl w:val="0"/>
          <w:numId w:val="2"/>
        </w:numPr>
        <w:spacing w:before="0" w:after="0"/>
        <w:contextualSpacing/>
        <w:rPr>
          <w:rFonts w:ascii="Times New Roman" w:hAnsi="Times New Roman" w:cs="Times New Roman"/>
          <w:sz w:val="24"/>
          <w:szCs w:val="24"/>
        </w:rPr>
      </w:pPr>
      <w:r>
        <w:rPr>
          <w:rFonts w:cs="Times New Roman" w:ascii="Times New Roman" w:hAnsi="Times New Roman"/>
          <w:sz w:val="24"/>
          <w:szCs w:val="24"/>
        </w:rPr>
        <w:t>Zgodność z normą EN 14 904</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Podłoga powinna ponadto posiadać min.: deklarację zgodności producenta  z  normą  EN  14904, pozytywną  ocenę  higieniczną pzh.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Pytanie: 52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Prosimy o informację na jakim etapie realizacji Zamawiający będzie wymagał przedstawienie dokumentów podłogi sportowej?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Odpowiedź: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Dokumenty podłogi sportowej będą wymagane po jej montażu.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b/>
          <w:b/>
          <w:sz w:val="24"/>
          <w:szCs w:val="24"/>
        </w:rPr>
      </w:pPr>
      <w:r>
        <w:rPr>
          <w:rFonts w:cs="Times New Roman" w:ascii="Times New Roman" w:hAnsi="Times New Roman"/>
          <w:sz w:val="24"/>
          <w:szCs w:val="24"/>
        </w:rPr>
        <w:t xml:space="preserve">Na podstawie art. 38 ust. 4 ustawy </w:t>
      </w:r>
      <w:r>
        <w:rPr>
          <w:rFonts w:cs="Times New Roman" w:ascii="Times New Roman" w:hAnsi="Times New Roman"/>
          <w:b/>
          <w:sz w:val="24"/>
          <w:szCs w:val="24"/>
        </w:rPr>
        <w:t xml:space="preserve">Zamawiający - Gmina Proszowice, 32-100 Proszowice, ul. 3 Maja 72 </w:t>
      </w:r>
      <w:r>
        <w:rPr>
          <w:rFonts w:eastAsia="Calibri" w:cs="Times New Roman" w:ascii="Times New Roman" w:hAnsi="Times New Roman"/>
          <w:bCs/>
          <w:sz w:val="24"/>
          <w:szCs w:val="24"/>
        </w:rPr>
        <w:t>2020</w:t>
      </w:r>
      <w:r>
        <w:rPr>
          <w:rFonts w:cs="Times New Roman" w:ascii="Times New Roman" w:hAnsi="Times New Roman"/>
          <w:i/>
          <w:sz w:val="24"/>
          <w:szCs w:val="24"/>
        </w:rPr>
        <w:t xml:space="preserve"> </w:t>
      </w:r>
      <w:r>
        <w:rPr>
          <w:rFonts w:cs="Times New Roman" w:ascii="Times New Roman" w:hAnsi="Times New Roman"/>
          <w:b/>
          <w:sz w:val="24"/>
          <w:szCs w:val="24"/>
        </w:rPr>
        <w:t>dokonuje zmiany treści  SIWZ w zakresie zmiany terminu składania i otwarcia ofert:</w:t>
      </w:r>
    </w:p>
    <w:p>
      <w:pPr>
        <w:pStyle w:val="Normal"/>
        <w:widowControl w:val="false"/>
        <w:jc w:val="both"/>
        <w:rPr>
          <w:rFonts w:ascii="Times New Roman" w:hAnsi="Times New Roman" w:cs="Times New Roman"/>
          <w:b/>
          <w:b/>
          <w:sz w:val="24"/>
          <w:szCs w:val="24"/>
          <w:u w:val="single"/>
        </w:rPr>
      </w:pPr>
      <w:r>
        <w:rPr>
          <w:rFonts w:cs="Times New Roman" w:ascii="Times New Roman" w:hAnsi="Times New Roman"/>
          <w:b/>
          <w:sz w:val="24"/>
          <w:szCs w:val="24"/>
          <w:u w:val="single"/>
        </w:rPr>
        <w:t>CZĘŚĆ XII otrzymuje brzmienie</w:t>
      </w:r>
    </w:p>
    <w:p>
      <w:pPr>
        <w:pStyle w:val="Normal"/>
        <w:widowControl w:val="false"/>
        <w:rPr>
          <w:rFonts w:ascii="Times New Roman" w:hAnsi="Times New Roman" w:cs="Times New Roman"/>
          <w:sz w:val="24"/>
          <w:szCs w:val="24"/>
        </w:rPr>
      </w:pPr>
      <w:r>
        <w:rPr>
          <w:rFonts w:cs="Times New Roman" w:ascii="Times New Roman" w:hAnsi="Times New Roman"/>
          <w:b/>
          <w:sz w:val="24"/>
          <w:szCs w:val="24"/>
        </w:rPr>
        <w:t>MIEJSCE ORAZ TERMIN SKŁADANIA I OTWARCIA OFERT</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 xml:space="preserve">Ofertę należy złożyć w Urzędzie Gminy Proszowice, 32-100 Proszowice, ul. 3 Maja 72, Biuro Obsługi Interesanta (Dziennik Podawczy, parter), </w:t>
      </w:r>
      <w:r>
        <w:rPr>
          <w:rFonts w:cs="Times New Roman" w:ascii="Times New Roman" w:hAnsi="Times New Roman"/>
          <w:b/>
          <w:sz w:val="24"/>
          <w:szCs w:val="24"/>
        </w:rPr>
        <w:t>w terminie do dnia 12 lipca 2019 r. do godz. 11.00</w:t>
      </w:r>
      <w:r>
        <w:rPr>
          <w:rFonts w:cs="Times New Roman" w:ascii="Times New Roman" w:hAnsi="Times New Roman"/>
          <w:sz w:val="24"/>
          <w:szCs w:val="24"/>
        </w:rPr>
        <w:t>.</w:t>
      </w:r>
    </w:p>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r>
    </w:p>
    <w:p>
      <w:pPr>
        <w:pStyle w:val="Tretekstu"/>
        <w:spacing w:before="0" w:after="0"/>
        <w:jc w:val="both"/>
        <w:rPr>
          <w:szCs w:val="24"/>
        </w:rPr>
      </w:pPr>
      <w:r>
        <w:rPr>
          <w:szCs w:val="24"/>
        </w:rPr>
        <w:t xml:space="preserve">Oferty zostaną otwarte w Urzędzie Gminy Proszowice, 32-100 Proszowice, ul. 3 Maja 72, sala 8, </w:t>
      </w:r>
      <w:r>
        <w:rPr>
          <w:b/>
          <w:szCs w:val="24"/>
        </w:rPr>
        <w:t>w dniu 12 lipca 2019 r. o godz. 11.30</w:t>
      </w:r>
      <w:r>
        <w:rPr>
          <w:szCs w:val="24"/>
        </w:rPr>
        <w:t>.</w:t>
      </w:r>
    </w:p>
    <w:p>
      <w:pPr>
        <w:pStyle w:val="Normal"/>
        <w:spacing w:lineRule="auto" w:line="240" w:before="0" w:after="0"/>
        <w:rPr/>
      </w:pPr>
      <w:r>
        <w:rPr>
          <w:rFonts w:cs="Times New Roman" w:ascii="Times New Roman" w:hAnsi="Times New Roman"/>
          <w:sz w:val="24"/>
          <w:szCs w:val="24"/>
        </w:rPr>
        <w:t>Pozostałe zapisy SIWZ pozostają bez zmian.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Messagedate" w:customStyle="1">
    <w:name w:val="message-date"/>
    <w:basedOn w:val="DefaultParagraphFont"/>
    <w:qFormat/>
    <w:rsid w:val="00ea7cce"/>
    <w:rPr/>
  </w:style>
  <w:style w:type="character" w:styleId="Emsubject" w:customStyle="1">
    <w:name w:val="emsubject"/>
    <w:basedOn w:val="DefaultParagraphFont"/>
    <w:qFormat/>
    <w:rsid w:val="00ea7cce"/>
    <w:rPr/>
  </w:style>
  <w:style w:type="character" w:styleId="TekstpodstawowyZnak" w:customStyle="1">
    <w:name w:val="Tekst podstawowy Znak"/>
    <w:basedOn w:val="DefaultParagraphFont"/>
    <w:link w:val="Tekstpodstawowy"/>
    <w:qFormat/>
    <w:rsid w:val="003f298d"/>
    <w:rPr>
      <w:rFonts w:ascii="Times New Roman" w:hAnsi="Times New Roman" w:eastAsia="Times New Roman" w:cs="Times New Roman"/>
      <w:sz w:val="24"/>
      <w:szCs w:val="20"/>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3f298d"/>
    <w:pPr>
      <w:spacing w:lineRule="auto" w:line="240" w:before="0" w:after="120"/>
    </w:pPr>
    <w:rPr>
      <w:rFonts w:ascii="Times New Roman" w:hAnsi="Times New Roman" w:eastAsia="Times New Roman" w:cs="Times New Roman"/>
      <w:sz w:val="24"/>
      <w:szCs w:val="20"/>
      <w:lang w:eastAsia="pl-PL"/>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customStyle="1">
    <w:name w:val="Standard"/>
    <w:qFormat/>
    <w:rsid w:val="00f84500"/>
    <w:pPr>
      <w:widowControl w:val="false"/>
      <w:suppressAutoHyphens w:val="true"/>
      <w:bidi w:val="0"/>
      <w:spacing w:lineRule="auto" w:line="240" w:before="0" w:after="0"/>
      <w:jc w:val="left"/>
    </w:pPr>
    <w:rPr>
      <w:rFonts w:ascii="Times New Roman" w:hAnsi="Times New Roman" w:eastAsia="Arial" w:cs="Times New Roman"/>
      <w:color w:val="auto"/>
      <w:kern w:val="2"/>
      <w:sz w:val="24"/>
      <w:szCs w:val="20"/>
      <w:lang w:eastAsia="ar-SA" w:val="pl-PL" w:bidi="ar-SA"/>
    </w:rPr>
  </w:style>
  <w:style w:type="paragraph" w:styleId="ListParagraph">
    <w:name w:val="List Paragraph"/>
    <w:basedOn w:val="Normal"/>
    <w:uiPriority w:val="34"/>
    <w:qFormat/>
    <w:rsid w:val="002d3e1b"/>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Application>LibreOffice/6.0.3.2$Windows_X86_64 LibreOffice_project/8f48d515416608e3a835360314dac7e47fd0b821</Application>
  <Pages>14</Pages>
  <Words>4491</Words>
  <Characters>29105</Characters>
  <CharactersWithSpaces>33460</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2019-07-01T15:28:00Z</dcterms:created>
  <dc:creator>Piotr</dc:creator>
  <dc:description/>
  <dc:language>pl-PL</dc:language>
  <cp:lastModifiedBy/>
  <dcterms:modified xsi:type="dcterms:W3CDTF">2019-07-03T09:34:00Z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